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left"/>
      </w:pPr>
      <w:r>
        <w:drawing>
          <wp:inline distT="0" distB="0" distL="0" distR="0">
            <wp:extent cx="142875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428750"/>
                    </a:xfrm>
                    <a:prstGeom prst="rect">
                      <a:avLst/>
                    </a:prstGeom>
                  </pic:spPr>
                </pic:pic>
              </a:graphicData>
            </a:graphic>
          </wp:inline>
        </w:drawing>
      </w:r>
    </w:p>
    <w:p>
      <w:pPr>
        <w:spacing w:after="40"/>
      </w:pPr>
      <w:r>
        <w:rPr>
          <w:b/>
          <w:bCs/>
          <w:color w:val="3F6B5A"/>
          <w:sz w:val="20"/>
          <w:szCs w:val="20"/>
        </w:rPr>
        <w:t xml:space="preserve">STAGE 4 — YEARS 7–8</w:t>
      </w:r>
    </w:p>
    <w:p>
      <w:pPr>
        <w:pStyle w:val="Title"/>
        <w:spacing w:after="160"/>
      </w:pPr>
      <w:r>
        <w:rPr>
          <w:b/>
          <w:bCs/>
          <w:color w:val="0C2D28"/>
          <w:sz w:val="34"/>
          <w:szCs w:val="34"/>
        </w:rPr>
        <w:t xml:space="preserve">Bush Dance: Movement, Culture and Identity — The Heel &amp; Toe Polka</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36"/>
        <w:gridCol w:w="2436"/>
        <w:gridCol w:w="2436"/>
        <w:gridCol w:w="2436"/>
      </w:tblGrid>
      <w:tr>
        <w:tc>
          <w:tcPr>
            <w:tcW w:type="dxa" w:w="2436"/>
            <w:shd w:fill="EFF1ED" w:val="clear"/>
            <w:tcMar>
              <w:top w:type="dxa" w:w="80"/>
              <w:left w:type="dxa" w:w="120"/>
              <w:bottom w:type="dxa" w:w="80"/>
              <w:right w:type="dxa" w:w="120"/>
            </w:tcMar>
          </w:tcPr>
          <w:p>
            <w:r>
              <w:rPr>
                <w:b/>
                <w:bCs/>
                <w:color w:val="3F6B5A"/>
                <w:sz w:val="15"/>
                <w:szCs w:val="15"/>
              </w:rPr>
              <w:t xml:space="preserve">DURATION</w:t>
            </w:r>
          </w:p>
          <w:p>
            <w:r>
              <w:rPr>
                <w:b/>
                <w:bCs/>
                <w:color w:val="0C2D28"/>
                <w:sz w:val="19"/>
                <w:szCs w:val="19"/>
              </w:rPr>
              <w:t xml:space="preserve">60 minutes</w:t>
            </w:r>
          </w:p>
        </w:tc>
        <w:tc>
          <w:tcPr>
            <w:tcW w:type="dxa" w:w="2436"/>
            <w:shd w:fill="EFF1ED" w:val="clear"/>
            <w:tcMar>
              <w:top w:type="dxa" w:w="80"/>
              <w:left w:type="dxa" w:w="120"/>
              <w:bottom w:type="dxa" w:w="80"/>
              <w:right w:type="dxa" w:w="120"/>
            </w:tcMar>
          </w:tcPr>
          <w:p>
            <w:r>
              <w:rPr>
                <w:b/>
                <w:bCs/>
                <w:color w:val="3F6B5A"/>
                <w:sz w:val="15"/>
                <w:szCs w:val="15"/>
              </w:rPr>
              <w:t xml:space="preserve">YEAR LEVEL</w:t>
            </w:r>
          </w:p>
          <w:p>
            <w:r>
              <w:rPr>
                <w:b/>
                <w:bCs/>
                <w:color w:val="0C2D28"/>
                <w:sz w:val="19"/>
                <w:szCs w:val="19"/>
              </w:rPr>
              <w:t xml:space="preserve">Year 7–8</w:t>
            </w:r>
          </w:p>
        </w:tc>
        <w:tc>
          <w:tcPr>
            <w:tcW w:type="dxa" w:w="2436"/>
            <w:shd w:fill="EFF1ED" w:val="clear"/>
            <w:tcMar>
              <w:top w:type="dxa" w:w="80"/>
              <w:left w:type="dxa" w:w="120"/>
              <w:bottom w:type="dxa" w:w="80"/>
              <w:right w:type="dxa" w:w="120"/>
            </w:tcMar>
          </w:tcPr>
          <w:p>
            <w:r>
              <w:rPr>
                <w:b/>
                <w:bCs/>
                <w:color w:val="3F6B5A"/>
                <w:sz w:val="15"/>
                <w:szCs w:val="15"/>
              </w:rPr>
              <w:t xml:space="preserve">GROUP SIZE</w:t>
            </w:r>
          </w:p>
          <w:p>
            <w:r>
              <w:rPr>
                <w:b/>
                <w:bCs/>
                <w:color w:val="0C2D28"/>
                <w:sz w:val="19"/>
                <w:szCs w:val="19"/>
              </w:rPr>
              <w:t xml:space="preserve">Whole class / cohort</w:t>
            </w:r>
          </w:p>
        </w:tc>
        <w:tc>
          <w:tcPr>
            <w:tcW w:type="dxa" w:w="2436"/>
            <w:shd w:fill="EFF1ED" w:val="clear"/>
            <w:tcMar>
              <w:top w:type="dxa" w:w="80"/>
              <w:left w:type="dxa" w:w="120"/>
              <w:bottom w:type="dxa" w:w="80"/>
              <w:right w:type="dxa" w:w="120"/>
            </w:tcMar>
          </w:tcPr>
          <w:p>
            <w:r>
              <w:rPr>
                <w:b/>
                <w:bCs/>
                <w:color w:val="3F6B5A"/>
                <w:sz w:val="15"/>
                <w:szCs w:val="15"/>
              </w:rPr>
              <w:t xml:space="preserve">LOCATION</w:t>
            </w:r>
          </w:p>
          <w:p>
            <w:r>
              <w:rPr>
                <w:b/>
                <w:bCs/>
                <w:color w:val="0C2D28"/>
                <w:sz w:val="19"/>
                <w:szCs w:val="19"/>
              </w:rPr>
              <w:t xml:space="preserve">Hall / gymnasium / flat outdoor area</w:t>
            </w:r>
          </w:p>
        </w:tc>
      </w:tr>
    </w:tbl>
    <w:p>
      <w:pPr>
        <w:spacing w:before="200"/>
      </w:pPr>
    </w:p>
    <w:p>
      <w:pPr>
        <w:pStyle w:val="Heading2"/>
        <w:spacing w:after="80" w:before="180"/>
      </w:pPr>
      <w:r>
        <w:rPr>
          <w:b/>
          <w:bCs/>
          <w:color w:val="3F6B5A"/>
          <w:sz w:val="22"/>
          <w:szCs w:val="22"/>
        </w:rPr>
        <w:t xml:space="preserve">Learning intentions</w:t>
      </w:r>
    </w:p>
    <w:p>
      <w:pPr>
        <w:pStyle w:val="ListParagraph"/>
        <w:numPr>
          <w:ilvl w:val="0"/>
          <w:numId w:val="2"/>
        </w:numPr>
        <w:spacing w:after="40"/>
      </w:pPr>
      <w:r>
        <w:rPr>
          <w:sz w:val="20"/>
          <w:szCs w:val="20"/>
        </w:rPr>
        <w:t xml:space="preserve">We are learning to refine and apply movement skills within a group physical activity context.</w:t>
      </w:r>
    </w:p>
    <w:p>
      <w:pPr>
        <w:pStyle w:val="ListParagraph"/>
        <w:numPr>
          <w:ilvl w:val="0"/>
          <w:numId w:val="2"/>
        </w:numPr>
        <w:spacing w:after="40"/>
      </w:pPr>
      <w:r>
        <w:rPr>
          <w:sz w:val="20"/>
          <w:szCs w:val="20"/>
        </w:rPr>
        <w:t xml:space="preserve">We are learning strategies for inclusive, respectful participation in shared physical activity.</w:t>
      </w:r>
    </w:p>
    <w:p>
      <w:pPr>
        <w:pStyle w:val="ListParagraph"/>
        <w:numPr>
          <w:ilvl w:val="0"/>
          <w:numId w:val="2"/>
        </w:numPr>
        <w:spacing w:after="40"/>
      </w:pPr>
      <w:r>
        <w:rPr>
          <w:sz w:val="20"/>
          <w:szCs w:val="20"/>
        </w:rPr>
        <w:t xml:space="preserve">We are learning how a historical and cultural practice continues to shape community identity today.</w:t>
      </w:r>
    </w:p>
    <w:p>
      <w:pPr>
        <w:pStyle w:val="Heading2"/>
        <w:spacing w:after="80" w:before="180"/>
      </w:pPr>
      <w:r>
        <w:rPr>
          <w:b/>
          <w:bCs/>
          <w:color w:val="3F6B5A"/>
          <w:sz w:val="22"/>
          <w:szCs w:val="22"/>
        </w:rPr>
        <w:t xml:space="preserve">Success criteria — students can:</w:t>
      </w:r>
    </w:p>
    <w:p>
      <w:pPr>
        <w:pStyle w:val="ListParagraph"/>
        <w:numPr>
          <w:ilvl w:val="0"/>
          <w:numId w:val="2"/>
        </w:numPr>
        <w:spacing w:after="40"/>
      </w:pPr>
      <w:r>
        <w:rPr>
          <w:sz w:val="20"/>
          <w:szCs w:val="20"/>
        </w:rPr>
        <w:t xml:space="preserve">Perform and adapt bush dance sequences with control, applying feedback to refine technique.</w:t>
      </w:r>
    </w:p>
    <w:p>
      <w:pPr>
        <w:pStyle w:val="ListParagraph"/>
        <w:numPr>
          <w:ilvl w:val="0"/>
          <w:numId w:val="2"/>
        </w:numPr>
        <w:spacing w:after="40"/>
      </w:pPr>
      <w:r>
        <w:rPr>
          <w:sz w:val="20"/>
          <w:szCs w:val="20"/>
        </w:rPr>
        <w:t xml:space="preserve">Demonstrate respectful, inclusive interpersonal behaviour when changing partners or groups.</w:t>
      </w:r>
    </w:p>
    <w:p>
      <w:pPr>
        <w:pStyle w:val="ListParagraph"/>
        <w:numPr>
          <w:ilvl w:val="0"/>
          <w:numId w:val="2"/>
        </w:numPr>
        <w:spacing w:after="40"/>
      </w:pPr>
      <w:r>
        <w:rPr>
          <w:sz w:val="20"/>
          <w:szCs w:val="20"/>
        </w:rPr>
        <w:t xml:space="preserve">Explain a connection between bush dance as a colonial-era social practice and its role in community identity today.</w:t>
      </w:r>
    </w:p>
    <w:p>
      <w:pPr>
        <w:pStyle w:val="Heading1"/>
        <w:pBdr>
          <w:bottom w:val="single" w:color="3F6B5A" w:sz="4" w:space="3"/>
        </w:pBdr>
        <w:spacing w:after="120" w:before="260"/>
      </w:pPr>
      <w:r>
        <w:rPr>
          <w:b/>
          <w:bCs/>
          <w:color w:val="0C2D28"/>
          <w:sz w:val="26"/>
          <w:szCs w:val="26"/>
        </w:rPr>
        <w:t xml:space="preserve">Curriculum outcomes targeted</w:t>
      </w:r>
    </w:p>
    <w:p>
      <w:pPr>
        <w:spacing w:after="100"/>
      </w:pPr>
      <w:r>
        <w:rPr>
          <w:i/>
          <w:iCs/>
          <w:color w:val="5B5B5B"/>
          <w:sz w:val="18"/>
          <w:szCs w:val="18"/>
        </w:rPr>
        <w:t xml:space="preserve">Outcomes below are drawn from the PDHPE 7–10 Syllabus (2018), currently in force for Stage 4. Where a school offers Dance 7–10 (2023) as an elective, this session also supports the Performance, Composition and Appreciation focus areas of that syllabus, and the Aboriginal and Torres Strait Islander Histories and Cultures cross-curriculum priority.</w:t>
      </w:r>
    </w:p>
    <w:p>
      <w:pPr>
        <w:spacing w:after="1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300"/>
        <w:gridCol w:w="5546"/>
        <w:gridCol w:w="1700"/>
        <w:gridCol w:w="1200"/>
      </w:tblGrid>
      <w:tr>
        <w:trPr>
          <w:tblHeader/>
        </w:trPr>
        <w:tc>
          <w:tcPr>
            <w:tcW w:type="dxa" w:w="1300"/>
            <w:shd w:fill="0C2D28" w:val="clear"/>
            <w:tcMar>
              <w:top w:type="dxa" w:w="60"/>
              <w:left w:type="dxa" w:w="100"/>
              <w:bottom w:type="dxa" w:w="60"/>
              <w:right w:type="dxa" w:w="100"/>
            </w:tcMar>
            <w:vAlign w:val="center"/>
          </w:tcPr>
          <w:p>
            <w:pPr>
              <w:spacing w:after="20"/>
            </w:pPr>
            <w:r>
              <w:rPr>
                <w:b/>
                <w:bCs/>
                <w:color w:val="FFFFFF"/>
                <w:sz w:val="18"/>
                <w:szCs w:val="18"/>
              </w:rPr>
              <w:t xml:space="preserve">Code</w:t>
            </w:r>
          </w:p>
        </w:tc>
        <w:tc>
          <w:tcPr>
            <w:tcW w:type="dxa" w:w="5546"/>
            <w:shd w:fill="0C2D28" w:val="clear"/>
            <w:tcMar>
              <w:top w:type="dxa" w:w="60"/>
              <w:left w:type="dxa" w:w="100"/>
              <w:bottom w:type="dxa" w:w="60"/>
              <w:right w:type="dxa" w:w="100"/>
            </w:tcMar>
            <w:vAlign w:val="center"/>
          </w:tcPr>
          <w:p>
            <w:pPr>
              <w:spacing w:after="20"/>
            </w:pPr>
            <w:r>
              <w:rPr>
                <w:b/>
                <w:bCs/>
                <w:color w:val="FFFFFF"/>
                <w:sz w:val="18"/>
                <w:szCs w:val="18"/>
              </w:rPr>
              <w:t xml:space="preserve">Outcome (paraphrased)</w:t>
            </w:r>
          </w:p>
        </w:tc>
        <w:tc>
          <w:tcPr>
            <w:tcW w:type="dxa" w:w="1700"/>
            <w:shd w:fill="0C2D28" w:val="clear"/>
            <w:tcMar>
              <w:top w:type="dxa" w:w="60"/>
              <w:left w:type="dxa" w:w="100"/>
              <w:bottom w:type="dxa" w:w="60"/>
              <w:right w:type="dxa" w:w="100"/>
            </w:tcMar>
            <w:vAlign w:val="center"/>
          </w:tcPr>
          <w:p>
            <w:pPr>
              <w:spacing w:after="20"/>
            </w:pPr>
            <w:r>
              <w:rPr>
                <w:b/>
                <w:bCs/>
                <w:color w:val="FFFFFF"/>
                <w:sz w:val="18"/>
                <w:szCs w:val="18"/>
              </w:rPr>
              <w:t xml:space="preserve">Learning area</w:t>
            </w:r>
          </w:p>
        </w:tc>
        <w:tc>
          <w:tcPr>
            <w:tcW w:type="dxa" w:w="1200"/>
            <w:shd w:fill="0C2D28" w:val="clear"/>
            <w:tcMar>
              <w:top w:type="dxa" w:w="60"/>
              <w:left w:type="dxa" w:w="100"/>
              <w:bottom w:type="dxa" w:w="60"/>
              <w:right w:type="dxa" w:w="100"/>
            </w:tcMar>
            <w:vAlign w:val="center"/>
          </w:tcPr>
          <w:p>
            <w:pPr>
              <w:spacing w:after="20"/>
            </w:pPr>
            <w:r>
              <w:rPr>
                <w:b/>
                <w:bCs/>
                <w:color w:val="FFFFFF"/>
                <w:sz w:val="18"/>
                <w:szCs w:val="18"/>
              </w:rPr>
              <w:t xml:space="preserve">Syllabus</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PD4-3</w:t>
            </w:r>
          </w:p>
        </w:tc>
        <w:tc>
          <w:tcPr>
            <w:tcW w:type="dxa" w:w="5546"/>
            <w:tcMar>
              <w:top w:type="dxa" w:w="60"/>
              <w:left w:type="dxa" w:w="100"/>
              <w:bottom w:type="dxa" w:w="60"/>
              <w:right w:type="dxa" w:w="100"/>
            </w:tcMar>
            <w:vAlign w:val="center"/>
          </w:tcPr>
          <w:p>
            <w:pPr>
              <w:spacing w:after="20"/>
            </w:pPr>
            <w:r>
              <w:rPr>
                <w:sz w:val="18"/>
                <w:szCs w:val="18"/>
              </w:rPr>
              <w:t xml:space="preserve">Investigates effective strategies to promote inclusivity, equality and respectful relationships.</w:t>
            </w:r>
          </w:p>
        </w:tc>
        <w:tc>
          <w:tcPr>
            <w:tcW w:type="dxa" w:w="1700"/>
            <w:tcMar>
              <w:top w:type="dxa" w:w="60"/>
              <w:left w:type="dxa" w:w="100"/>
              <w:bottom w:type="dxa" w:w="60"/>
              <w:right w:type="dxa" w:w="100"/>
            </w:tcMar>
            <w:vAlign w:val="center"/>
          </w:tcPr>
          <w:p>
            <w:pPr>
              <w:spacing w:after="20"/>
            </w:pPr>
            <w:r>
              <w:rPr>
                <w:sz w:val="18"/>
                <w:szCs w:val="18"/>
              </w:rPr>
              <w:t xml:space="preserve">PDHPE</w:t>
            </w:r>
          </w:p>
        </w:tc>
        <w:tc>
          <w:tcPr>
            <w:tcW w:type="dxa" w:w="1200"/>
            <w:tcMar>
              <w:top w:type="dxa" w:w="60"/>
              <w:left w:type="dxa" w:w="100"/>
              <w:bottom w:type="dxa" w:w="60"/>
              <w:right w:type="dxa" w:w="100"/>
            </w:tcMar>
            <w:vAlign w:val="center"/>
          </w:tcPr>
          <w:p>
            <w:pPr>
              <w:spacing w:after="20"/>
            </w:pPr>
            <w:r>
              <w:rPr>
                <w:sz w:val="18"/>
                <w:szCs w:val="18"/>
              </w:rPr>
              <w:t xml:space="preserve">7–10 (2018)</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PD4-4</w:t>
            </w:r>
          </w:p>
        </w:tc>
        <w:tc>
          <w:tcPr>
            <w:tcW w:type="dxa" w:w="5546"/>
            <w:tcMar>
              <w:top w:type="dxa" w:w="60"/>
              <w:left w:type="dxa" w:w="100"/>
              <w:bottom w:type="dxa" w:w="60"/>
              <w:right w:type="dxa" w:w="100"/>
            </w:tcMar>
            <w:vAlign w:val="center"/>
          </w:tcPr>
          <w:p>
            <w:pPr>
              <w:spacing w:after="20"/>
            </w:pPr>
            <w:r>
              <w:rPr>
                <w:sz w:val="18"/>
                <w:szCs w:val="18"/>
              </w:rPr>
              <w:t xml:space="preserve">Refines, applies and transfers movement skills in a variety of dynamic physical activity contexts.</w:t>
            </w:r>
          </w:p>
        </w:tc>
        <w:tc>
          <w:tcPr>
            <w:tcW w:type="dxa" w:w="1700"/>
            <w:tcMar>
              <w:top w:type="dxa" w:w="60"/>
              <w:left w:type="dxa" w:w="100"/>
              <w:bottom w:type="dxa" w:w="60"/>
              <w:right w:type="dxa" w:w="100"/>
            </w:tcMar>
            <w:vAlign w:val="center"/>
          </w:tcPr>
          <w:p>
            <w:pPr>
              <w:spacing w:after="20"/>
            </w:pPr>
            <w:r>
              <w:rPr>
                <w:sz w:val="18"/>
                <w:szCs w:val="18"/>
              </w:rPr>
              <w:t xml:space="preserve">PDHPE</w:t>
            </w:r>
          </w:p>
        </w:tc>
        <w:tc>
          <w:tcPr>
            <w:tcW w:type="dxa" w:w="1200"/>
            <w:tcMar>
              <w:top w:type="dxa" w:w="60"/>
              <w:left w:type="dxa" w:w="100"/>
              <w:bottom w:type="dxa" w:w="60"/>
              <w:right w:type="dxa" w:w="100"/>
            </w:tcMar>
            <w:vAlign w:val="center"/>
          </w:tcPr>
          <w:p>
            <w:pPr>
              <w:spacing w:after="20"/>
            </w:pPr>
            <w:r>
              <w:rPr>
                <w:sz w:val="18"/>
                <w:szCs w:val="18"/>
              </w:rPr>
              <w:t xml:space="preserve">7–10 (2018)</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PD4-9</w:t>
            </w:r>
          </w:p>
        </w:tc>
        <w:tc>
          <w:tcPr>
            <w:tcW w:type="dxa" w:w="5546"/>
            <w:tcMar>
              <w:top w:type="dxa" w:w="60"/>
              <w:left w:type="dxa" w:w="100"/>
              <w:bottom w:type="dxa" w:w="60"/>
              <w:right w:type="dxa" w:w="100"/>
            </w:tcMar>
            <w:vAlign w:val="center"/>
          </w:tcPr>
          <w:p>
            <w:pPr>
              <w:spacing w:after="20"/>
            </w:pPr>
            <w:r>
              <w:rPr>
                <w:sz w:val="18"/>
                <w:szCs w:val="18"/>
              </w:rPr>
              <w:t xml:space="preserve">Demonstrates self-management skills to effectively manage complex situations.</w:t>
            </w:r>
          </w:p>
        </w:tc>
        <w:tc>
          <w:tcPr>
            <w:tcW w:type="dxa" w:w="1700"/>
            <w:tcMar>
              <w:top w:type="dxa" w:w="60"/>
              <w:left w:type="dxa" w:w="100"/>
              <w:bottom w:type="dxa" w:w="60"/>
              <w:right w:type="dxa" w:w="100"/>
            </w:tcMar>
            <w:vAlign w:val="center"/>
          </w:tcPr>
          <w:p>
            <w:pPr>
              <w:spacing w:after="20"/>
            </w:pPr>
            <w:r>
              <w:rPr>
                <w:sz w:val="18"/>
                <w:szCs w:val="18"/>
              </w:rPr>
              <w:t xml:space="preserve">PDHPE</w:t>
            </w:r>
          </w:p>
        </w:tc>
        <w:tc>
          <w:tcPr>
            <w:tcW w:type="dxa" w:w="1200"/>
            <w:tcMar>
              <w:top w:type="dxa" w:w="60"/>
              <w:left w:type="dxa" w:w="100"/>
              <w:bottom w:type="dxa" w:w="60"/>
              <w:right w:type="dxa" w:w="100"/>
            </w:tcMar>
            <w:vAlign w:val="center"/>
          </w:tcPr>
          <w:p>
            <w:pPr>
              <w:spacing w:after="20"/>
            </w:pPr>
            <w:r>
              <w:rPr>
                <w:sz w:val="18"/>
                <w:szCs w:val="18"/>
              </w:rPr>
              <w:t xml:space="preserve">7–10 (2018)</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PD4-10</w:t>
            </w:r>
          </w:p>
        </w:tc>
        <w:tc>
          <w:tcPr>
            <w:tcW w:type="dxa" w:w="5546"/>
            <w:tcMar>
              <w:top w:type="dxa" w:w="60"/>
              <w:left w:type="dxa" w:w="100"/>
              <w:bottom w:type="dxa" w:w="60"/>
              <w:right w:type="dxa" w:w="100"/>
            </w:tcMar>
            <w:vAlign w:val="center"/>
          </w:tcPr>
          <w:p>
            <w:pPr>
              <w:spacing w:after="20"/>
            </w:pPr>
            <w:r>
              <w:rPr>
                <w:sz w:val="18"/>
                <w:szCs w:val="18"/>
              </w:rPr>
              <w:t xml:space="preserve">Applies and refines interpersonal skills to assist themselves and others to interact respectfully and promote inclusion in a variety of groups or contexts.</w:t>
            </w:r>
          </w:p>
        </w:tc>
        <w:tc>
          <w:tcPr>
            <w:tcW w:type="dxa" w:w="1700"/>
            <w:tcMar>
              <w:top w:type="dxa" w:w="60"/>
              <w:left w:type="dxa" w:w="100"/>
              <w:bottom w:type="dxa" w:w="60"/>
              <w:right w:type="dxa" w:w="100"/>
            </w:tcMar>
            <w:vAlign w:val="center"/>
          </w:tcPr>
          <w:p>
            <w:pPr>
              <w:spacing w:after="20"/>
            </w:pPr>
            <w:r>
              <w:rPr>
                <w:sz w:val="18"/>
                <w:szCs w:val="18"/>
              </w:rPr>
              <w:t xml:space="preserve">PDHPE</w:t>
            </w:r>
          </w:p>
        </w:tc>
        <w:tc>
          <w:tcPr>
            <w:tcW w:type="dxa" w:w="1200"/>
            <w:tcMar>
              <w:top w:type="dxa" w:w="60"/>
              <w:left w:type="dxa" w:w="100"/>
              <w:bottom w:type="dxa" w:w="60"/>
              <w:right w:type="dxa" w:w="100"/>
            </w:tcMar>
            <w:vAlign w:val="center"/>
          </w:tcPr>
          <w:p>
            <w:pPr>
              <w:spacing w:after="20"/>
            </w:pPr>
            <w:r>
              <w:rPr>
                <w:sz w:val="18"/>
                <w:szCs w:val="18"/>
              </w:rPr>
              <w:t xml:space="preserve">7–10 (2018)</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PD4-11</w:t>
            </w:r>
          </w:p>
        </w:tc>
        <w:tc>
          <w:tcPr>
            <w:tcW w:type="dxa" w:w="5546"/>
            <w:tcMar>
              <w:top w:type="dxa" w:w="60"/>
              <w:left w:type="dxa" w:w="100"/>
              <w:bottom w:type="dxa" w:w="60"/>
              <w:right w:type="dxa" w:w="100"/>
            </w:tcMar>
            <w:vAlign w:val="center"/>
          </w:tcPr>
          <w:p>
            <w:pPr>
              <w:spacing w:after="20"/>
            </w:pPr>
            <w:r>
              <w:rPr>
                <w:sz w:val="18"/>
                <w:szCs w:val="18"/>
              </w:rPr>
              <w:t xml:space="preserve">Demonstrates how movement skills and concepts can be adapted and transferred to enhance and perform movement sequences.</w:t>
            </w:r>
          </w:p>
        </w:tc>
        <w:tc>
          <w:tcPr>
            <w:tcW w:type="dxa" w:w="1700"/>
            <w:tcMar>
              <w:top w:type="dxa" w:w="60"/>
              <w:left w:type="dxa" w:w="100"/>
              <w:bottom w:type="dxa" w:w="60"/>
              <w:right w:type="dxa" w:w="100"/>
            </w:tcMar>
            <w:vAlign w:val="center"/>
          </w:tcPr>
          <w:p>
            <w:pPr>
              <w:spacing w:after="20"/>
            </w:pPr>
            <w:r>
              <w:rPr>
                <w:sz w:val="18"/>
                <w:szCs w:val="18"/>
              </w:rPr>
              <w:t xml:space="preserve">PDHPE</w:t>
            </w:r>
          </w:p>
        </w:tc>
        <w:tc>
          <w:tcPr>
            <w:tcW w:type="dxa" w:w="1200"/>
            <w:tcMar>
              <w:top w:type="dxa" w:w="60"/>
              <w:left w:type="dxa" w:w="100"/>
              <w:bottom w:type="dxa" w:w="60"/>
              <w:right w:type="dxa" w:w="100"/>
            </w:tcMar>
            <w:vAlign w:val="center"/>
          </w:tcPr>
          <w:p>
            <w:pPr>
              <w:spacing w:after="20"/>
            </w:pPr>
            <w:r>
              <w:rPr>
                <w:sz w:val="18"/>
                <w:szCs w:val="18"/>
              </w:rPr>
              <w:t xml:space="preserve">7–10 (2018)</w:t>
            </w:r>
          </w:p>
        </w:tc>
      </w:tr>
    </w:tbl>
    <w:p>
      <w:pPr>
        <w:spacing w:after="160"/>
      </w:pPr>
    </w:p>
    <w:p>
      <w:pPr>
        <w:pStyle w:val="Heading1"/>
        <w:pBdr>
          <w:bottom w:val="single" w:color="3F6B5A" w:sz="4" w:space="3"/>
        </w:pBdr>
        <w:spacing w:after="120" w:before="260"/>
      </w:pPr>
      <w:r>
        <w:rPr>
          <w:b/>
          <w:bCs/>
          <w:color w:val="0C2D28"/>
          <w:sz w:val="26"/>
          <w:szCs w:val="26"/>
        </w:rPr>
        <w:t xml:space="preserve">Equipment &amp; preparation</w:t>
      </w:r>
    </w:p>
    <w:p>
      <w:pPr>
        <w:pStyle w:val="ListParagraph"/>
        <w:numPr>
          <w:ilvl w:val="0"/>
          <w:numId w:val="2"/>
        </w:numPr>
        <w:spacing w:after="40"/>
      </w:pPr>
      <w:r>
        <w:rPr>
          <w:sz w:val="20"/>
          <w:szCs w:val="20"/>
        </w:rPr>
        <w:t xml:space="preserve">Cleared hall/gymnasium space suitable for whole-cohort set dancing</w:t>
      </w:r>
    </w:p>
    <w:p>
      <w:pPr>
        <w:pStyle w:val="ListParagraph"/>
        <w:numPr>
          <w:ilvl w:val="0"/>
          <w:numId w:val="2"/>
        </w:numPr>
        <w:spacing w:after="40"/>
      </w:pPr>
      <w:r>
        <w:rPr>
          <w:sz w:val="20"/>
          <w:szCs w:val="20"/>
        </w:rPr>
        <w:t xml:space="preserve">Live music: violin (presenter) and guitar (accompanist) — no speaker/playlist required</w:t>
      </w:r>
    </w:p>
    <w:p>
      <w:pPr>
        <w:pStyle w:val="ListParagraph"/>
        <w:numPr>
          <w:ilvl w:val="0"/>
          <w:numId w:val="2"/>
        </w:numPr>
        <w:spacing w:after="40"/>
      </w:pPr>
      <w:r>
        <w:rPr>
          <w:sz w:val="20"/>
          <w:szCs w:val="20"/>
        </w:rPr>
        <w:t xml:space="preserve">Presenter calls the dance live throughout — no separate caller track needed</w:t>
      </w:r>
    </w:p>
    <w:p>
      <w:pPr>
        <w:pStyle w:val="ListParagraph"/>
        <w:numPr>
          <w:ilvl w:val="0"/>
          <w:numId w:val="2"/>
        </w:numPr>
        <w:spacing w:after="40"/>
      </w:pPr>
      <w:r>
        <w:rPr>
          <w:sz w:val="20"/>
          <w:szCs w:val="20"/>
        </w:rPr>
        <w:t xml:space="preserve">Optional: brief discussion prompt cards on consent, inclusion and changing partners respectfully</w:t>
      </w:r>
    </w:p>
    <w:p>
      <w:pPr>
        <w:pStyle w:val="Heading1"/>
        <w:pBdr>
          <w:bottom w:val="single" w:color="3F6B5A" w:sz="4" w:space="3"/>
        </w:pBdr>
        <w:spacing w:after="120" w:before="260"/>
      </w:pPr>
      <w:r>
        <w:rPr>
          <w:b/>
          <w:bCs/>
          <w:color w:val="0C2D28"/>
          <w:sz w:val="26"/>
          <w:szCs w:val="26"/>
        </w:rPr>
        <w:t xml:space="preserve">Lesson sequence (60 minutes)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100"/>
        <w:gridCol w:w="1500"/>
        <w:gridCol w:w="4646"/>
        <w:gridCol w:w="2500"/>
      </w:tblGrid>
      <w:tr>
        <w:trPr>
          <w:tblHeader/>
        </w:trPr>
        <w:tc>
          <w:tcPr>
            <w:tcW w:type="dxa" w:w="1100"/>
            <w:shd w:fill="3F6B5A" w:val="clear"/>
            <w:tcMar>
              <w:top w:type="dxa" w:w="60"/>
              <w:left w:type="dxa" w:w="100"/>
              <w:bottom w:type="dxa" w:w="60"/>
              <w:right w:type="dxa" w:w="100"/>
            </w:tcMar>
            <w:vAlign w:val="center"/>
          </w:tcPr>
          <w:p>
            <w:pPr>
              <w:spacing w:after="20"/>
            </w:pPr>
            <w:r>
              <w:rPr>
                <w:b/>
                <w:bCs/>
                <w:color w:val="FFFFFF"/>
                <w:sz w:val="18"/>
                <w:szCs w:val="18"/>
              </w:rPr>
              <w:t xml:space="preserve">Time</w:t>
            </w:r>
          </w:p>
        </w:tc>
        <w:tc>
          <w:tcPr>
            <w:tcW w:type="dxa" w:w="1500"/>
            <w:shd w:fill="3F6B5A" w:val="clear"/>
            <w:tcMar>
              <w:top w:type="dxa" w:w="60"/>
              <w:left w:type="dxa" w:w="100"/>
              <w:bottom w:type="dxa" w:w="60"/>
              <w:right w:type="dxa" w:w="100"/>
            </w:tcMar>
            <w:vAlign w:val="center"/>
          </w:tcPr>
          <w:p>
            <w:pPr>
              <w:spacing w:after="20"/>
            </w:pPr>
            <w:r>
              <w:rPr>
                <w:b/>
                <w:bCs/>
                <w:color w:val="FFFFFF"/>
                <w:sz w:val="18"/>
                <w:szCs w:val="18"/>
              </w:rPr>
              <w:t xml:space="preserve">Segment</w:t>
            </w:r>
          </w:p>
        </w:tc>
        <w:tc>
          <w:tcPr>
            <w:tcW w:type="dxa" w:w="4646"/>
            <w:shd w:fill="3F6B5A" w:val="clear"/>
            <w:tcMar>
              <w:top w:type="dxa" w:w="60"/>
              <w:left w:type="dxa" w:w="100"/>
              <w:bottom w:type="dxa" w:w="60"/>
              <w:right w:type="dxa" w:w="100"/>
            </w:tcMar>
            <w:vAlign w:val="center"/>
          </w:tcPr>
          <w:p>
            <w:pPr>
              <w:spacing w:after="20"/>
            </w:pPr>
            <w:r>
              <w:rPr>
                <w:b/>
                <w:bCs/>
                <w:color w:val="FFFFFF"/>
                <w:sz w:val="18"/>
                <w:szCs w:val="18"/>
              </w:rPr>
              <w:t xml:space="preserve">Teaching &amp; learning activity</w:t>
            </w:r>
          </w:p>
        </w:tc>
        <w:tc>
          <w:tcPr>
            <w:tcW w:type="dxa" w:w="2500"/>
            <w:shd w:fill="3F6B5A" w:val="clear"/>
            <w:tcMar>
              <w:top w:type="dxa" w:w="60"/>
              <w:left w:type="dxa" w:w="100"/>
              <w:bottom w:type="dxa" w:w="60"/>
              <w:right w:type="dxa" w:w="100"/>
            </w:tcMar>
            <w:vAlign w:val="center"/>
          </w:tcPr>
          <w:p>
            <w:pPr>
              <w:spacing w:after="20"/>
            </w:pPr>
            <w:r>
              <w:rPr>
                <w:b/>
                <w:bCs/>
                <w:color w:val="FFFFFF"/>
                <w:sz w:val="18"/>
                <w:szCs w:val="18"/>
              </w:rPr>
              <w:t xml:space="preserve">Curriculum outcomes targeted</w:t>
            </w:r>
          </w:p>
        </w:tc>
      </w:tr>
      <w:tr>
        <w:tc>
          <w:tcPr>
            <w:tcW w:type="dxa" w:w="1100"/>
            <w:tcMar>
              <w:top w:type="dxa" w:w="60"/>
              <w:left w:type="dxa" w:w="100"/>
              <w:bottom w:type="dxa" w:w="60"/>
              <w:right w:type="dxa" w:w="100"/>
            </w:tcMar>
            <w:vAlign w:val="center"/>
          </w:tcPr>
          <w:p>
            <w:pPr>
              <w:spacing w:after="20"/>
            </w:pPr>
            <w:r>
              <w:rPr>
                <w:sz w:val="18"/>
                <w:szCs w:val="18"/>
              </w:rPr>
              <w:t xml:space="preserve">0–10 min</w:t>
            </w:r>
          </w:p>
        </w:tc>
        <w:tc>
          <w:tcPr>
            <w:tcW w:type="dxa" w:w="1500"/>
            <w:tcMar>
              <w:top w:type="dxa" w:w="60"/>
              <w:left w:type="dxa" w:w="100"/>
              <w:bottom w:type="dxa" w:w="60"/>
              <w:right w:type="dxa" w:w="100"/>
            </w:tcMar>
            <w:vAlign w:val="center"/>
          </w:tcPr>
          <w:p>
            <w:pPr>
              <w:spacing w:after="20"/>
            </w:pPr>
            <w:r>
              <w:rPr>
                <w:b/>
                <w:bCs/>
                <w:sz w:val="18"/>
                <w:szCs w:val="18"/>
              </w:rPr>
              <w:t xml:space="preserve">Settle &amp; dynamic warm-up</w:t>
            </w:r>
          </w:p>
        </w:tc>
        <w:tc>
          <w:tcPr>
            <w:tcW w:type="dxa" w:w="4646"/>
            <w:tcMar>
              <w:top w:type="dxa" w:w="60"/>
              <w:left w:type="dxa" w:w="100"/>
              <w:bottom w:type="dxa" w:w="60"/>
              <w:right w:type="dxa" w:w="100"/>
            </w:tcMar>
            <w:vAlign w:val="center"/>
          </w:tcPr>
          <w:p>
            <w:pPr>
              <w:spacing w:after="20"/>
            </w:pPr>
            <w:r>
              <w:rPr>
                <w:sz w:val="18"/>
                <w:szCs w:val="18"/>
              </w:rPr>
              <w:t xml:space="preserve">Settle the cohort, set expectations for a shared music-and-movement space. Pulse-raising movement and joint mobility drills led by students in pairs, in time with a short live tune.</w:t>
            </w:r>
          </w:p>
        </w:tc>
        <w:tc>
          <w:tcPr>
            <w:tcW w:type="dxa" w:w="2500"/>
            <w:tcMar>
              <w:top w:type="dxa" w:w="60"/>
              <w:left w:type="dxa" w:w="100"/>
              <w:bottom w:type="dxa" w:w="60"/>
              <w:right w:type="dxa" w:w="100"/>
            </w:tcMar>
            <w:vAlign w:val="center"/>
          </w:tcPr>
          <w:p>
            <w:pPr>
              <w:spacing w:after="20"/>
            </w:pPr>
            <w:r>
              <w:rPr>
                <w:b/>
                <w:bCs/>
                <w:color w:val="0C2D28"/>
                <w:sz w:val="18"/>
                <w:szCs w:val="18"/>
              </w:rPr>
              <w:t xml:space="preserve">PD4-4</w:t>
            </w:r>
          </w:p>
        </w:tc>
      </w:tr>
      <w:tr>
        <w:tc>
          <w:tcPr>
            <w:tcW w:type="dxa" w:w="1100"/>
            <w:tcMar>
              <w:top w:type="dxa" w:w="60"/>
              <w:left w:type="dxa" w:w="100"/>
              <w:bottom w:type="dxa" w:w="60"/>
              <w:right w:type="dxa" w:w="100"/>
            </w:tcMar>
            <w:vAlign w:val="center"/>
          </w:tcPr>
          <w:p>
            <w:pPr>
              <w:spacing w:after="20"/>
            </w:pPr>
            <w:r>
              <w:rPr>
                <w:sz w:val="18"/>
                <w:szCs w:val="18"/>
              </w:rPr>
              <w:t xml:space="preserve">10–18 min</w:t>
            </w:r>
          </w:p>
        </w:tc>
        <w:tc>
          <w:tcPr>
            <w:tcW w:type="dxa" w:w="1500"/>
            <w:tcMar>
              <w:top w:type="dxa" w:w="60"/>
              <w:left w:type="dxa" w:w="100"/>
              <w:bottom w:type="dxa" w:w="60"/>
              <w:right w:type="dxa" w:w="100"/>
            </w:tcMar>
            <w:vAlign w:val="center"/>
          </w:tcPr>
          <w:p>
            <w:pPr>
              <w:spacing w:after="20"/>
            </w:pPr>
            <w:r>
              <w:rPr>
                <w:b/>
                <w:bCs/>
                <w:sz w:val="18"/>
                <w:szCs w:val="18"/>
              </w:rPr>
              <w:t xml:space="preserve">Context &amp; expectations</w:t>
            </w:r>
          </w:p>
        </w:tc>
        <w:tc>
          <w:tcPr>
            <w:tcW w:type="dxa" w:w="4646"/>
            <w:tcMar>
              <w:top w:type="dxa" w:w="60"/>
              <w:left w:type="dxa" w:w="100"/>
              <w:bottom w:type="dxa" w:w="60"/>
              <w:right w:type="dxa" w:w="100"/>
            </w:tcMar>
            <w:vAlign w:val="center"/>
          </w:tcPr>
          <w:p>
            <w:pPr>
              <w:spacing w:after="20"/>
            </w:pPr>
            <w:r>
              <w:rPr>
                <w:sz w:val="18"/>
                <w:szCs w:val="18"/>
              </w:rPr>
              <w:t xml:space="preserve">Brief history of bush dance as a living colonial-era community tradition; discuss respectful, inclusive partner-changing and consent when dancing with new partners.</w:t>
            </w:r>
          </w:p>
        </w:tc>
        <w:tc>
          <w:tcPr>
            <w:tcW w:type="dxa" w:w="2500"/>
            <w:tcMar>
              <w:top w:type="dxa" w:w="60"/>
              <w:left w:type="dxa" w:w="100"/>
              <w:bottom w:type="dxa" w:w="60"/>
              <w:right w:type="dxa" w:w="100"/>
            </w:tcMar>
            <w:vAlign w:val="center"/>
          </w:tcPr>
          <w:p>
            <w:pPr>
              <w:spacing w:after="20"/>
            </w:pPr>
            <w:r>
              <w:rPr>
                <w:b/>
                <w:bCs/>
                <w:color w:val="0C2D28"/>
                <w:sz w:val="18"/>
                <w:szCs w:val="18"/>
              </w:rPr>
              <w:t xml:space="preserve">PD4-3</w:t>
            </w:r>
          </w:p>
        </w:tc>
      </w:tr>
      <w:tr>
        <w:tc>
          <w:tcPr>
            <w:tcW w:type="dxa" w:w="1100"/>
            <w:tcMar>
              <w:top w:type="dxa" w:w="60"/>
              <w:left w:type="dxa" w:w="100"/>
              <w:bottom w:type="dxa" w:w="60"/>
              <w:right w:type="dxa" w:w="100"/>
            </w:tcMar>
            <w:vAlign w:val="center"/>
          </w:tcPr>
          <w:p>
            <w:pPr>
              <w:spacing w:after="20"/>
            </w:pPr>
            <w:r>
              <w:rPr>
                <w:sz w:val="18"/>
                <w:szCs w:val="18"/>
              </w:rPr>
              <w:t xml:space="preserve">18–53 min</w:t>
            </w:r>
          </w:p>
        </w:tc>
        <w:tc>
          <w:tcPr>
            <w:tcW w:type="dxa" w:w="1500"/>
            <w:tcMar>
              <w:top w:type="dxa" w:w="60"/>
              <w:left w:type="dxa" w:w="100"/>
              <w:bottom w:type="dxa" w:w="60"/>
              <w:right w:type="dxa" w:w="100"/>
            </w:tcMar>
            <w:vAlign w:val="center"/>
          </w:tcPr>
          <w:p>
            <w:pPr>
              <w:spacing w:after="20"/>
            </w:pPr>
            <w:r>
              <w:rPr>
                <w:b/>
                <w:bCs/>
                <w:sz w:val="18"/>
                <w:szCs w:val="18"/>
              </w:rPr>
              <w:t xml:space="preserve">Teach, live music &amp; perform: Heel &amp; Toe Polka</w:t>
            </w:r>
          </w:p>
        </w:tc>
        <w:tc>
          <w:tcPr>
            <w:tcW w:type="dxa" w:w="4646"/>
            <w:tcMar>
              <w:top w:type="dxa" w:w="60"/>
              <w:left w:type="dxa" w:w="100"/>
              <w:bottom w:type="dxa" w:w="60"/>
              <w:right w:type="dxa" w:w="100"/>
            </w:tcMar>
            <w:vAlign w:val="center"/>
          </w:tcPr>
          <w:p>
            <w:pPr>
              <w:spacing w:after="20"/>
            </w:pPr>
            <w:r>
              <w:rPr>
                <w:sz w:val="18"/>
                <w:szCs w:val="18"/>
              </w:rPr>
              <w:t xml:space="preserve">Presenter teaches the Heel &amp; Toe Polka's step pattern and formation, calling live while the guitarist accompanies. Coach refinement of timing and technique from walk-through to full tempo; in the final block, small groups are challenged to adapt or extend one figure and rehearse it before the whole cohort performs together.</w:t>
            </w:r>
          </w:p>
        </w:tc>
        <w:tc>
          <w:tcPr>
            <w:tcW w:type="dxa" w:w="2500"/>
            <w:tcMar>
              <w:top w:type="dxa" w:w="60"/>
              <w:left w:type="dxa" w:w="100"/>
              <w:bottom w:type="dxa" w:w="60"/>
              <w:right w:type="dxa" w:w="100"/>
            </w:tcMar>
            <w:vAlign w:val="center"/>
          </w:tcPr>
          <w:p>
            <w:pPr>
              <w:spacing w:after="20"/>
            </w:pPr>
            <w:r>
              <w:rPr>
                <w:b/>
                <w:bCs/>
                <w:color w:val="0C2D28"/>
                <w:sz w:val="18"/>
                <w:szCs w:val="18"/>
              </w:rPr>
              <w:t xml:space="preserve">PD4-4, PD4-11, PD4-9</w:t>
            </w:r>
          </w:p>
        </w:tc>
      </w:tr>
      <w:tr>
        <w:tc>
          <w:tcPr>
            <w:tcW w:type="dxa" w:w="1100"/>
            <w:tcMar>
              <w:top w:type="dxa" w:w="60"/>
              <w:left w:type="dxa" w:w="100"/>
              <w:bottom w:type="dxa" w:w="60"/>
              <w:right w:type="dxa" w:w="100"/>
            </w:tcMar>
            <w:vAlign w:val="center"/>
          </w:tcPr>
          <w:p>
            <w:pPr>
              <w:spacing w:after="20"/>
            </w:pPr>
            <w:r>
              <w:rPr>
                <w:sz w:val="18"/>
                <w:szCs w:val="18"/>
              </w:rPr>
              <w:t xml:space="preserve">53–58 min</w:t>
            </w:r>
          </w:p>
        </w:tc>
        <w:tc>
          <w:tcPr>
            <w:tcW w:type="dxa" w:w="1500"/>
            <w:tcMar>
              <w:top w:type="dxa" w:w="60"/>
              <w:left w:type="dxa" w:w="100"/>
              <w:bottom w:type="dxa" w:w="60"/>
              <w:right w:type="dxa" w:w="100"/>
            </w:tcMar>
            <w:vAlign w:val="center"/>
          </w:tcPr>
          <w:p>
            <w:pPr>
              <w:spacing w:after="20"/>
            </w:pPr>
            <w:r>
              <w:rPr>
                <w:b/>
                <w:bCs/>
                <w:sz w:val="18"/>
                <w:szCs w:val="18"/>
              </w:rPr>
              <w:t xml:space="preserve">Peer-teach highlights</w:t>
            </w:r>
          </w:p>
        </w:tc>
        <w:tc>
          <w:tcPr>
            <w:tcW w:type="dxa" w:w="4646"/>
            <w:tcMar>
              <w:top w:type="dxa" w:w="60"/>
              <w:left w:type="dxa" w:w="100"/>
              <w:bottom w:type="dxa" w:w="60"/>
              <w:right w:type="dxa" w:w="100"/>
            </w:tcMar>
            <w:vAlign w:val="center"/>
          </w:tcPr>
          <w:p>
            <w:pPr>
              <w:spacing w:after="20"/>
            </w:pPr>
            <w:r>
              <w:rPr>
                <w:sz w:val="18"/>
                <w:szCs w:val="18"/>
              </w:rPr>
              <w:t xml:space="preserve">1–2 groups briefly demonstrate their adapted figure to the cohort.</w:t>
            </w:r>
          </w:p>
        </w:tc>
        <w:tc>
          <w:tcPr>
            <w:tcW w:type="dxa" w:w="2500"/>
            <w:tcMar>
              <w:top w:type="dxa" w:w="60"/>
              <w:left w:type="dxa" w:w="100"/>
              <w:bottom w:type="dxa" w:w="60"/>
              <w:right w:type="dxa" w:w="100"/>
            </w:tcMar>
            <w:vAlign w:val="center"/>
          </w:tcPr>
          <w:p>
            <w:pPr>
              <w:spacing w:after="20"/>
            </w:pPr>
            <w:r>
              <w:rPr>
                <w:b/>
                <w:bCs/>
                <w:color w:val="0C2D28"/>
                <w:sz w:val="18"/>
                <w:szCs w:val="18"/>
              </w:rPr>
              <w:t xml:space="preserve">PD4-10, PD4-11</w:t>
            </w:r>
          </w:p>
        </w:tc>
      </w:tr>
      <w:tr>
        <w:tc>
          <w:tcPr>
            <w:tcW w:type="dxa" w:w="1100"/>
            <w:tcMar>
              <w:top w:type="dxa" w:w="60"/>
              <w:left w:type="dxa" w:w="100"/>
              <w:bottom w:type="dxa" w:w="60"/>
              <w:right w:type="dxa" w:w="100"/>
            </w:tcMar>
            <w:vAlign w:val="center"/>
          </w:tcPr>
          <w:p>
            <w:pPr>
              <w:spacing w:after="20"/>
            </w:pPr>
            <w:r>
              <w:rPr>
                <w:sz w:val="18"/>
                <w:szCs w:val="18"/>
              </w:rPr>
              <w:t xml:space="preserve">58–60 min</w:t>
            </w:r>
          </w:p>
        </w:tc>
        <w:tc>
          <w:tcPr>
            <w:tcW w:type="dxa" w:w="1500"/>
            <w:tcMar>
              <w:top w:type="dxa" w:w="60"/>
              <w:left w:type="dxa" w:w="100"/>
              <w:bottom w:type="dxa" w:w="60"/>
              <w:right w:type="dxa" w:w="100"/>
            </w:tcMar>
            <w:vAlign w:val="center"/>
          </w:tcPr>
          <w:p>
            <w:pPr>
              <w:spacing w:after="20"/>
            </w:pPr>
            <w:r>
              <w:rPr>
                <w:b/>
                <w:bCs/>
                <w:sz w:val="18"/>
                <w:szCs w:val="18"/>
              </w:rPr>
              <w:t xml:space="preserve">Reflection</w:t>
            </w:r>
          </w:p>
        </w:tc>
        <w:tc>
          <w:tcPr>
            <w:tcW w:type="dxa" w:w="4646"/>
            <w:tcMar>
              <w:top w:type="dxa" w:w="60"/>
              <w:left w:type="dxa" w:w="100"/>
              <w:bottom w:type="dxa" w:w="60"/>
              <w:right w:type="dxa" w:w="100"/>
            </w:tcMar>
            <w:vAlign w:val="center"/>
          </w:tcPr>
          <w:p>
            <w:pPr>
              <w:spacing w:after="20"/>
            </w:pPr>
            <w:r>
              <w:rPr>
                <w:sz w:val="18"/>
                <w:szCs w:val="18"/>
              </w:rPr>
              <w:t xml:space="preserve">Quick-write or paired discussion: 'What teamwork or inclusion strategy did you use today, and where else could you use it?'</w:t>
            </w:r>
          </w:p>
        </w:tc>
        <w:tc>
          <w:tcPr>
            <w:tcW w:type="dxa" w:w="2500"/>
            <w:tcMar>
              <w:top w:type="dxa" w:w="60"/>
              <w:left w:type="dxa" w:w="100"/>
              <w:bottom w:type="dxa" w:w="60"/>
              <w:right w:type="dxa" w:w="100"/>
            </w:tcMar>
            <w:vAlign w:val="center"/>
          </w:tcPr>
          <w:p>
            <w:pPr>
              <w:spacing w:after="20"/>
            </w:pPr>
            <w:r>
              <w:rPr>
                <w:b/>
                <w:bCs/>
                <w:color w:val="0C2D28"/>
                <w:sz w:val="18"/>
                <w:szCs w:val="18"/>
              </w:rPr>
              <w:t xml:space="preserve">PD4-3, PD4-10</w:t>
            </w:r>
          </w:p>
        </w:tc>
      </w:tr>
    </w:tbl>
    <w:p>
      <w:pPr>
        <w:spacing w:after="160"/>
      </w:pPr>
    </w:p>
    <w:p>
      <w:pPr>
        <w:pStyle w:val="Heading1"/>
        <w:pBdr>
          <w:bottom w:val="single" w:color="3F6B5A" w:sz="4" w:space="3"/>
        </w:pBdr>
        <w:spacing w:after="120" w:before="260"/>
      </w:pPr>
      <w:r>
        <w:rPr>
          <w:b/>
          <w:bCs/>
          <w:color w:val="0C2D28"/>
          <w:sz w:val="26"/>
          <w:szCs w:val="26"/>
        </w:rPr>
        <w:t xml:space="preserve">Assessment</w:t>
      </w:r>
    </w:p>
    <w:p>
      <w:pPr>
        <w:pStyle w:val="ListParagraph"/>
        <w:numPr>
          <w:ilvl w:val="0"/>
          <w:numId w:val="2"/>
        </w:numPr>
        <w:spacing w:after="40"/>
      </w:pPr>
      <w:r>
        <w:rPr>
          <w:sz w:val="20"/>
          <w:szCs w:val="20"/>
        </w:rPr>
        <w:t xml:space="preserve">Teacher observation checklist against PD4-4/PD4-11 during the Teach, Live Music &amp; Perform segment.</w:t>
      </w:r>
    </w:p>
    <w:p>
      <w:pPr>
        <w:pStyle w:val="ListParagraph"/>
        <w:numPr>
          <w:ilvl w:val="0"/>
          <w:numId w:val="2"/>
        </w:numPr>
        <w:spacing w:after="40"/>
      </w:pPr>
      <w:r>
        <w:rPr>
          <w:sz w:val="20"/>
          <w:szCs w:val="20"/>
        </w:rPr>
        <w:t xml:space="preserve">Structured observation of inclusive behaviours (partner changes, encouragement) coded against PD4-3/PD4-10.</w:t>
      </w:r>
    </w:p>
    <w:p>
      <w:pPr>
        <w:pStyle w:val="ListParagraph"/>
        <w:numPr>
          <w:ilvl w:val="0"/>
          <w:numId w:val="2"/>
        </w:numPr>
        <w:spacing w:after="40"/>
      </w:pPr>
      <w:r>
        <w:rPr>
          <w:sz w:val="20"/>
          <w:szCs w:val="20"/>
        </w:rPr>
        <w:t xml:space="preserve">Reflection quick-write assessed for evidence of self-management strategies (PD4-9).</w:t>
      </w:r>
    </w:p>
    <w:p>
      <w:pPr>
        <w:pStyle w:val="Heading1"/>
        <w:pBdr>
          <w:bottom w:val="single" w:color="3F6B5A" w:sz="4" w:space="3"/>
        </w:pBdr>
        <w:spacing w:after="120" w:before="260"/>
      </w:pPr>
      <w:r>
        <w:rPr>
          <w:b/>
          <w:bCs/>
          <w:color w:val="0C2D28"/>
          <w:sz w:val="26"/>
          <w:szCs w:val="26"/>
        </w:rPr>
        <w:t xml:space="preserve">Differentiation</w:t>
      </w:r>
    </w:p>
    <w:p>
      <w:pPr>
        <w:pStyle w:val="ListParagraph"/>
        <w:numPr>
          <w:ilvl w:val="0"/>
          <w:numId w:val="2"/>
        </w:numPr>
        <w:spacing w:after="40"/>
      </w:pPr>
      <w:r>
        <w:rPr>
          <w:sz w:val="20"/>
          <w:szCs w:val="20"/>
        </w:rPr>
        <w:t xml:space="preserve">Provide a simplified figure/step option alongside the standard version of the polka.</w:t>
      </w:r>
    </w:p>
    <w:p>
      <w:pPr>
        <w:pStyle w:val="ListParagraph"/>
        <w:numPr>
          <w:ilvl w:val="0"/>
          <w:numId w:val="2"/>
        </w:numPr>
        <w:spacing w:after="40"/>
      </w:pPr>
      <w:r>
        <w:rPr>
          <w:sz w:val="20"/>
          <w:szCs w:val="20"/>
        </w:rPr>
        <w:t xml:space="preserve">Allow students to opt into a supporting role (rhythm-keeping, filming for group review) if physical participation needs adjusting.</w:t>
      </w:r>
    </w:p>
    <w:p>
      <w:pPr>
        <w:pStyle w:val="ListParagraph"/>
        <w:numPr>
          <w:ilvl w:val="0"/>
          <w:numId w:val="2"/>
        </w:numPr>
        <w:spacing w:after="40"/>
      </w:pPr>
      <w:r>
        <w:rPr>
          <w:sz w:val="20"/>
          <w:szCs w:val="20"/>
        </w:rPr>
        <w:t xml:space="preserve">Use mixed-ability small groups for the adaptation challenge so peer coaching supports PD4-9/PD4-10.</w:t>
      </w:r>
    </w:p>
    <w:p>
      <w:pPr>
        <w:pStyle w:val="ListParagraph"/>
        <w:numPr>
          <w:ilvl w:val="0"/>
          <w:numId w:val="2"/>
        </w:numPr>
        <w:spacing w:after="40"/>
      </w:pPr>
      <w:r>
        <w:rPr>
          <w:sz w:val="20"/>
          <w:szCs w:val="20"/>
        </w:rPr>
        <w:t xml:space="preserve">Extend confident students by having them lead the peer-teach highlights segment.</w:t>
      </w:r>
    </w:p>
    <w:p>
      <w:pPr>
        <w:pStyle w:val="Heading1"/>
        <w:pBdr>
          <w:bottom w:val="single" w:color="3F6B5A" w:sz="4" w:space="3"/>
        </w:pBdr>
        <w:spacing w:after="120" w:before="260"/>
      </w:pPr>
      <w:r>
        <w:rPr>
          <w:b/>
          <w:bCs/>
          <w:color w:val="0C2D28"/>
          <w:sz w:val="26"/>
          <w:szCs w:val="26"/>
        </w:rPr>
        <w:t xml:space="preserve">Key vocabulary</w:t>
      </w:r>
    </w:p>
    <w:p>
      <w:pPr>
        <w:spacing w:after="100"/>
      </w:pPr>
      <w:r>
        <w:rPr>
          <w:sz w:val="20"/>
          <w:szCs w:val="20"/>
        </w:rPr>
        <w:t xml:space="preserve">heel &amp; toe  •  polka step  •  figure  •  consent  •  inclusion  •  self-management  •  cultural tradition</w:t>
      </w:r>
    </w:p>
    <w:p>
      <w:pPr>
        <w:pStyle w:val="Heading1"/>
        <w:pBdr>
          <w:bottom w:val="single" w:color="3F6B5A" w:sz="4" w:space="3"/>
        </w:pBdr>
        <w:spacing w:after="120" w:before="260"/>
      </w:pPr>
      <w:r>
        <w:rPr>
          <w:b/>
          <w:bCs/>
          <w:color w:val="0C2D28"/>
          <w:sz w:val="26"/>
          <w:szCs w:val="26"/>
        </w:rPr>
        <w:t xml:space="preserve">Extending the learning back in the classroom</w:t>
      </w:r>
    </w:p>
    <w:p>
      <w:pPr>
        <w:spacing w:after="100"/>
      </w:pPr>
      <w:r>
        <w:rPr>
          <w:sz w:val="20"/>
          <w:szCs w:val="20"/>
        </w:rPr>
        <w:t xml:space="preserve">Use these follow-up tasks to deepen curriculum coverage after the incursion:</w:t>
      </w:r>
    </w:p>
    <w:p>
      <w:pPr>
        <w:pStyle w:val="ListParagraph"/>
        <w:numPr>
          <w:ilvl w:val="0"/>
          <w:numId w:val="2"/>
        </w:numPr>
        <w:spacing w:after="40"/>
      </w:pPr>
      <w:r>
        <w:rPr>
          <w:sz w:val="20"/>
          <w:szCs w:val="20"/>
        </w:rPr>
        <w:t xml:space="preserve">PDHPE: write a short reflection linking today's teamwork strategies to a current group project or sport context (extends PD4-3/PD4-10).</w:t>
      </w:r>
    </w:p>
    <w:p>
      <w:pPr>
        <w:pStyle w:val="ListParagraph"/>
        <w:numPr>
          <w:ilvl w:val="0"/>
          <w:numId w:val="2"/>
        </w:numPr>
        <w:spacing w:after="40"/>
      </w:pPr>
      <w:r>
        <w:rPr>
          <w:sz w:val="20"/>
          <w:szCs w:val="20"/>
        </w:rPr>
        <w:t xml:space="preserve">HSIE/History: research how a colonial-era social practice (dance, sport, music) has changed or persisted into the present (supports Aboriginal and Torres Strait Islander Histories and Cultures priority where relevant).</w:t>
      </w:r>
    </w:p>
    <w:p>
      <w:pPr>
        <w:pStyle w:val="ListParagraph"/>
        <w:numPr>
          <w:ilvl w:val="0"/>
          <w:numId w:val="2"/>
        </w:numPr>
        <w:spacing w:after="40"/>
      </w:pPr>
      <w:r>
        <w:rPr>
          <w:sz w:val="20"/>
          <w:szCs w:val="20"/>
        </w:rPr>
        <w:t xml:space="preserve">Dance elective (if offered): choreograph a short piece that reinterprets the Heel &amp; Toe Polka using contemporary style, analysing the choice in relation to the Dance 7–10 (2023) Appreciation focus area.</w:t>
      </w:r>
    </w:p>
    <w:p>
      <w:pPr>
        <w:pStyle w:val="ListParagraph"/>
        <w:numPr>
          <w:ilvl w:val="0"/>
          <w:numId w:val="2"/>
        </w:numPr>
        <w:spacing w:after="40"/>
      </w:pPr>
      <w:r>
        <w:rPr>
          <w:sz w:val="20"/>
          <w:szCs w:val="20"/>
        </w:rPr>
        <w:t xml:space="preserve">PDHPE: design an inclusion checklist that could be used for any group physical activity at school (extends PD4-3).</w:t>
      </w:r>
    </w:p>
    <w:p>
      <w:pPr>
        <w:spacing w:before="300"/>
      </w:pPr>
    </w:p>
    <w:p>
      <w:pPr>
        <w:pBdr>
          <w:top w:val="single" w:color="3F6B5A" w:sz="4" w:space="6"/>
        </w:pBdr>
      </w:pPr>
      <w:r>
        <w:rPr>
          <w:i/>
          <w:iCs/>
          <w:color w:val="5B5B5B"/>
          <w:sz w:val="16"/>
          <w:szCs w:val="16"/>
        </w:rPr>
        <w:t xml:space="preserve">Prepared for booking schools by Sydney Bush Dances  •  sydneybushdances.com  •  Outcomes referenced from current NSW Education Standards Authority (NESA) syllabuses.</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5B5B"/>
        <w:sz w:val="16"/>
        <w:szCs w:val="16"/>
      </w:rPr>
      <w:t xml:space="preserve">Sydney Bush Dances — Educational Session Plan   •   Page </w:t>
    </w:r>
    <w:r>
      <w:rPr>
        <w:color w:val="5B5B5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3F6B5A" w:sz="6" w:space="6"/>
      </w:pBdr>
      <w:tabs>
        <w:tab w:val="right" w:pos="9026"/>
      </w:tabs>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81000" cy="381000"/>
                  </a:xfrm>
                  <a:prstGeom prst="rect">
                    <a:avLst/>
                  </a:prstGeom>
                </pic:spPr>
              </pic:pic>
            </a:graphicData>
          </a:graphic>
        </wp:inline>
      </w:drawing>
    </w:r>
    <w:r>
      <w:rPr>
        <w:b/>
        <w:bCs/>
        <w:color w:val="0C2D28"/>
        <w:sz w:val="18"/>
        <w:szCs w:val="18"/>
      </w:rPr>
      <w:t xml:space="preserve">  Sydney Bush Dances</w:t>
    </w:r>
    <w:r>
      <w:rPr>
        <w:color w:val="5B5B5B"/>
        <w:sz w:val="16"/>
        <w:szCs w:val="16"/>
      </w:rPr>
      <w:t xml:space="preserve">	sydneybushdances.com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d2744656b2f260ca1199b15da47b42d1c692a4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d2744656b2f260ca1199b15da47b42d1c692a4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2026-09-18T08:51:02.530Z</dcterms:created>
  <dcterms:modified xsi:type="dcterms:W3CDTF">2026-09-18T08:51:02.530Z</dcterms:modified>
</cp:coreProperties>
</file>

<file path=docProps/custom.xml><?xml version="1.0" encoding="utf-8"?>
<Properties xmlns="http://schemas.openxmlformats.org/officeDocument/2006/custom-properties" xmlns:vt="http://schemas.openxmlformats.org/officeDocument/2006/docPropsVTypes"/>
</file>