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left"/>
      </w:pPr>
      <w:r>
        <w:drawing>
          <wp:inline distT="0" distB="0" distL="0" distR="0">
            <wp:extent cx="142875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428750"/>
                    </a:xfrm>
                    <a:prstGeom prst="rect">
                      <a:avLst/>
                    </a:prstGeom>
                  </pic:spPr>
                </pic:pic>
              </a:graphicData>
            </a:graphic>
          </wp:inline>
        </w:drawing>
      </w:r>
    </w:p>
    <w:p>
      <w:pPr>
        <w:spacing w:after="40"/>
      </w:pPr>
      <w:r>
        <w:rPr>
          <w:b/>
          <w:bCs/>
          <w:color w:val="3F6B5A"/>
          <w:sz w:val="20"/>
          <w:szCs w:val="20"/>
        </w:rPr>
        <w:t xml:space="preserve">STAGE 2 — YEARS 3–4</w:t>
      </w:r>
    </w:p>
    <w:p>
      <w:pPr>
        <w:pStyle w:val="Title"/>
        <w:spacing w:after="160"/>
      </w:pPr>
      <w:r>
        <w:rPr>
          <w:b/>
          <w:bCs/>
          <w:color w:val="0C2D28"/>
          <w:sz w:val="34"/>
          <w:szCs w:val="34"/>
        </w:rPr>
        <w:t xml:space="preserve">Bush Dance Explorers: The Heel &amp; Toe Polka in Colonial Australia</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36"/>
        <w:gridCol w:w="2436"/>
        <w:gridCol w:w="2436"/>
        <w:gridCol w:w="2436"/>
      </w:tblGrid>
      <w:tr>
        <w:tc>
          <w:tcPr>
            <w:tcW w:type="dxa" w:w="2436"/>
            <w:shd w:fill="EFF1ED" w:val="clear"/>
            <w:tcMar>
              <w:top w:type="dxa" w:w="80"/>
              <w:left w:type="dxa" w:w="120"/>
              <w:bottom w:type="dxa" w:w="80"/>
              <w:right w:type="dxa" w:w="120"/>
            </w:tcMar>
          </w:tcPr>
          <w:p>
            <w:r>
              <w:rPr>
                <w:b/>
                <w:bCs/>
                <w:color w:val="3F6B5A"/>
                <w:sz w:val="15"/>
                <w:szCs w:val="15"/>
              </w:rPr>
              <w:t xml:space="preserve">DURATION</w:t>
            </w:r>
          </w:p>
          <w:p>
            <w:r>
              <w:rPr>
                <w:b/>
                <w:bCs/>
                <w:color w:val="0C2D28"/>
                <w:sz w:val="19"/>
                <w:szCs w:val="19"/>
              </w:rPr>
              <w:t xml:space="preserve">60 minutes</w:t>
            </w:r>
          </w:p>
        </w:tc>
        <w:tc>
          <w:tcPr>
            <w:tcW w:type="dxa" w:w="2436"/>
            <w:shd w:fill="EFF1ED" w:val="clear"/>
            <w:tcMar>
              <w:top w:type="dxa" w:w="80"/>
              <w:left w:type="dxa" w:w="120"/>
              <w:bottom w:type="dxa" w:w="80"/>
              <w:right w:type="dxa" w:w="120"/>
            </w:tcMar>
          </w:tcPr>
          <w:p>
            <w:r>
              <w:rPr>
                <w:b/>
                <w:bCs/>
                <w:color w:val="3F6B5A"/>
                <w:sz w:val="15"/>
                <w:szCs w:val="15"/>
              </w:rPr>
              <w:t xml:space="preserve">YEAR LEVEL</w:t>
            </w:r>
          </w:p>
          <w:p>
            <w:r>
              <w:rPr>
                <w:b/>
                <w:bCs/>
                <w:color w:val="0C2D28"/>
                <w:sz w:val="19"/>
                <w:szCs w:val="19"/>
              </w:rPr>
              <w:t xml:space="preserve">Year 3–4</w:t>
            </w:r>
          </w:p>
        </w:tc>
        <w:tc>
          <w:tcPr>
            <w:tcW w:type="dxa" w:w="2436"/>
            <w:shd w:fill="EFF1ED" w:val="clear"/>
            <w:tcMar>
              <w:top w:type="dxa" w:w="80"/>
              <w:left w:type="dxa" w:w="120"/>
              <w:bottom w:type="dxa" w:w="80"/>
              <w:right w:type="dxa" w:w="120"/>
            </w:tcMar>
          </w:tcPr>
          <w:p>
            <w:r>
              <w:rPr>
                <w:b/>
                <w:bCs/>
                <w:color w:val="3F6B5A"/>
                <w:sz w:val="15"/>
                <w:szCs w:val="15"/>
              </w:rPr>
              <w:t xml:space="preserve">GROUP SIZE</w:t>
            </w:r>
          </w:p>
          <w:p>
            <w:r>
              <w:rPr>
                <w:b/>
                <w:bCs/>
                <w:color w:val="0C2D28"/>
                <w:sz w:val="19"/>
                <w:szCs w:val="19"/>
              </w:rPr>
              <w:t xml:space="preserve">Whole class / cohort</w:t>
            </w:r>
          </w:p>
        </w:tc>
        <w:tc>
          <w:tcPr>
            <w:tcW w:type="dxa" w:w="2436"/>
            <w:shd w:fill="EFF1ED" w:val="clear"/>
            <w:tcMar>
              <w:top w:type="dxa" w:w="80"/>
              <w:left w:type="dxa" w:w="120"/>
              <w:bottom w:type="dxa" w:w="80"/>
              <w:right w:type="dxa" w:w="120"/>
            </w:tcMar>
          </w:tcPr>
          <w:p>
            <w:r>
              <w:rPr>
                <w:b/>
                <w:bCs/>
                <w:color w:val="3F6B5A"/>
                <w:sz w:val="15"/>
                <w:szCs w:val="15"/>
              </w:rPr>
              <w:t xml:space="preserve">LOCATION</w:t>
            </w:r>
          </w:p>
          <w:p>
            <w:r>
              <w:rPr>
                <w:b/>
                <w:bCs/>
                <w:color w:val="0C2D28"/>
                <w:sz w:val="19"/>
                <w:szCs w:val="19"/>
              </w:rPr>
              <w:t xml:space="preserve">Hall / gymnasium / flat outdoor area</w:t>
            </w:r>
          </w:p>
        </w:tc>
      </w:tr>
    </w:tbl>
    <w:p>
      <w:pPr>
        <w:spacing w:before="200"/>
      </w:pPr>
    </w:p>
    <w:p>
      <w:pPr>
        <w:pStyle w:val="Heading2"/>
        <w:spacing w:after="80" w:before="180"/>
      </w:pPr>
      <w:r>
        <w:rPr>
          <w:b/>
          <w:bCs/>
          <w:color w:val="3F6B5A"/>
          <w:sz w:val="22"/>
          <w:szCs w:val="22"/>
        </w:rPr>
        <w:t xml:space="preserve">Learning intentions</w:t>
      </w:r>
    </w:p>
    <w:p>
      <w:pPr>
        <w:pStyle w:val="ListParagraph"/>
        <w:numPr>
          <w:ilvl w:val="0"/>
          <w:numId w:val="2"/>
        </w:numPr>
        <w:spacing w:after="40"/>
      </w:pPr>
      <w:r>
        <w:rPr>
          <w:sz w:val="20"/>
          <w:szCs w:val="20"/>
        </w:rPr>
        <w:t xml:space="preserve">We are learning that bush dances tell us about the people, journeys and community life of colonial Australia.</w:t>
      </w:r>
    </w:p>
    <w:p>
      <w:pPr>
        <w:pStyle w:val="ListParagraph"/>
        <w:numPr>
          <w:ilvl w:val="0"/>
          <w:numId w:val="2"/>
        </w:numPr>
        <w:spacing w:after="40"/>
      </w:pPr>
      <w:r>
        <w:rPr>
          <w:sz w:val="20"/>
          <w:szCs w:val="20"/>
        </w:rPr>
        <w:t xml:space="preserve">We are learning to perform simple set-dance formations with control, timing and expression.</w:t>
      </w:r>
    </w:p>
    <w:p>
      <w:pPr>
        <w:pStyle w:val="ListParagraph"/>
        <w:numPr>
          <w:ilvl w:val="0"/>
          <w:numId w:val="2"/>
        </w:numPr>
        <w:spacing w:after="40"/>
      </w:pPr>
      <w:r>
        <w:rPr>
          <w:sz w:val="20"/>
          <w:szCs w:val="20"/>
        </w:rPr>
        <w:t xml:space="preserve">We are learning to share our own opinion about what a dance communicates.</w:t>
      </w:r>
    </w:p>
    <w:p>
      <w:pPr>
        <w:pStyle w:val="Heading2"/>
        <w:spacing w:after="80" w:before="180"/>
      </w:pPr>
      <w:r>
        <w:rPr>
          <w:b/>
          <w:bCs/>
          <w:color w:val="3F6B5A"/>
          <w:sz w:val="22"/>
          <w:szCs w:val="22"/>
        </w:rPr>
        <w:t xml:space="preserve">Success criteria — students can:</w:t>
      </w:r>
    </w:p>
    <w:p>
      <w:pPr>
        <w:pStyle w:val="ListParagraph"/>
        <w:numPr>
          <w:ilvl w:val="0"/>
          <w:numId w:val="2"/>
        </w:numPr>
        <w:spacing w:after="40"/>
      </w:pPr>
      <w:r>
        <w:rPr>
          <w:sz w:val="20"/>
          <w:szCs w:val="20"/>
        </w:rPr>
        <w:t xml:space="preserve">Perform basic locomotor and non-locomotor bush dance steps in time with the music and a partner or group.</w:t>
      </w:r>
    </w:p>
    <w:p>
      <w:pPr>
        <w:pStyle w:val="ListParagraph"/>
        <w:numPr>
          <w:ilvl w:val="0"/>
          <w:numId w:val="2"/>
        </w:numPr>
        <w:spacing w:after="40"/>
      </w:pPr>
      <w:r>
        <w:rPr>
          <w:sz w:val="20"/>
          <w:szCs w:val="20"/>
        </w:rPr>
        <w:t xml:space="preserve">Name at least one reason bush dances developed among colonists, convicts and free settlers in early Australia.</w:t>
      </w:r>
    </w:p>
    <w:p>
      <w:pPr>
        <w:pStyle w:val="ListParagraph"/>
        <w:numPr>
          <w:ilvl w:val="0"/>
          <w:numId w:val="2"/>
        </w:numPr>
        <w:spacing w:after="40"/>
      </w:pPr>
      <w:r>
        <w:rPr>
          <w:sz w:val="20"/>
          <w:szCs w:val="20"/>
        </w:rPr>
        <w:t xml:space="preserve">Describe, in my own words, a feeling or idea a dance communicated to me.</w:t>
      </w:r>
    </w:p>
    <w:p>
      <w:pPr>
        <w:pStyle w:val="Heading1"/>
        <w:pBdr>
          <w:bottom w:val="single" w:color="3F6B5A" w:sz="4" w:space="3"/>
        </w:pBdr>
        <w:spacing w:after="120" w:before="260"/>
      </w:pPr>
      <w:r>
        <w:rPr>
          <w:b/>
          <w:bCs/>
          <w:color w:val="0C2D28"/>
          <w:sz w:val="26"/>
          <w:szCs w:val="26"/>
        </w:rPr>
        <w:t xml:space="preserve">Curriculum outcomes targeted</w:t>
      </w:r>
    </w:p>
    <w:p>
      <w:pPr>
        <w:spacing w:after="100"/>
      </w:pPr>
      <w:r>
        <w:rPr>
          <w:i/>
          <w:iCs/>
          <w:color w:val="5B5B5B"/>
          <w:sz w:val="18"/>
          <w:szCs w:val="18"/>
        </w:rPr>
        <w:t xml:space="preserve">Outcomes below are drawn from syllabuses currently in force for Stage 2 (History K–10 (2012); Creative Arts K–6 (2006); PDHPE K–10 (2018)). Equivalent outcomes exist in the new K–6 syllabuses (Creative Arts 2024, PDHPE 2024, HSIE 2024) being phased in for 2027 — update codes when your school transitions.</w:t>
      </w:r>
    </w:p>
    <w:p>
      <w:pPr>
        <w:spacing w:after="1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300"/>
        <w:gridCol w:w="5546"/>
        <w:gridCol w:w="1700"/>
        <w:gridCol w:w="1200"/>
      </w:tblGrid>
      <w:tr>
        <w:trPr>
          <w:tblHeader/>
        </w:trPr>
        <w:tc>
          <w:tcPr>
            <w:tcW w:type="dxa" w:w="1300"/>
            <w:shd w:fill="0C2D28" w:val="clear"/>
            <w:tcMar>
              <w:top w:type="dxa" w:w="60"/>
              <w:left w:type="dxa" w:w="100"/>
              <w:bottom w:type="dxa" w:w="60"/>
              <w:right w:type="dxa" w:w="100"/>
            </w:tcMar>
            <w:vAlign w:val="center"/>
          </w:tcPr>
          <w:p>
            <w:pPr>
              <w:spacing w:after="20"/>
            </w:pPr>
            <w:r>
              <w:rPr>
                <w:b/>
                <w:bCs/>
                <w:color w:val="FFFFFF"/>
                <w:sz w:val="18"/>
                <w:szCs w:val="18"/>
              </w:rPr>
              <w:t xml:space="preserve">Code</w:t>
            </w:r>
          </w:p>
        </w:tc>
        <w:tc>
          <w:tcPr>
            <w:tcW w:type="dxa" w:w="5546"/>
            <w:shd w:fill="0C2D28" w:val="clear"/>
            <w:tcMar>
              <w:top w:type="dxa" w:w="60"/>
              <w:left w:type="dxa" w:w="100"/>
              <w:bottom w:type="dxa" w:w="60"/>
              <w:right w:type="dxa" w:w="100"/>
            </w:tcMar>
            <w:vAlign w:val="center"/>
          </w:tcPr>
          <w:p>
            <w:pPr>
              <w:spacing w:after="20"/>
            </w:pPr>
            <w:r>
              <w:rPr>
                <w:b/>
                <w:bCs/>
                <w:color w:val="FFFFFF"/>
                <w:sz w:val="18"/>
                <w:szCs w:val="18"/>
              </w:rPr>
              <w:t xml:space="preserve">Outcome (paraphrased)</w:t>
            </w:r>
          </w:p>
        </w:tc>
        <w:tc>
          <w:tcPr>
            <w:tcW w:type="dxa" w:w="1700"/>
            <w:shd w:fill="0C2D28" w:val="clear"/>
            <w:tcMar>
              <w:top w:type="dxa" w:w="60"/>
              <w:left w:type="dxa" w:w="100"/>
              <w:bottom w:type="dxa" w:w="60"/>
              <w:right w:type="dxa" w:w="100"/>
            </w:tcMar>
            <w:vAlign w:val="center"/>
          </w:tcPr>
          <w:p>
            <w:pPr>
              <w:spacing w:after="20"/>
            </w:pPr>
            <w:r>
              <w:rPr>
                <w:b/>
                <w:bCs/>
                <w:color w:val="FFFFFF"/>
                <w:sz w:val="18"/>
                <w:szCs w:val="18"/>
              </w:rPr>
              <w:t xml:space="preserve">Learning area</w:t>
            </w:r>
          </w:p>
        </w:tc>
        <w:tc>
          <w:tcPr>
            <w:tcW w:type="dxa" w:w="1200"/>
            <w:shd w:fill="0C2D28" w:val="clear"/>
            <w:tcMar>
              <w:top w:type="dxa" w:w="60"/>
              <w:left w:type="dxa" w:w="100"/>
              <w:bottom w:type="dxa" w:w="60"/>
              <w:right w:type="dxa" w:w="100"/>
            </w:tcMar>
            <w:vAlign w:val="center"/>
          </w:tcPr>
          <w:p>
            <w:pPr>
              <w:spacing w:after="20"/>
            </w:pPr>
            <w:r>
              <w:rPr>
                <w:b/>
                <w:bCs/>
                <w:color w:val="FFFFFF"/>
                <w:sz w:val="18"/>
                <w:szCs w:val="18"/>
              </w:rPr>
              <w:t xml:space="preserve">Syllabus</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HT2-3</w:t>
            </w:r>
          </w:p>
        </w:tc>
        <w:tc>
          <w:tcPr>
            <w:tcW w:type="dxa" w:w="5546"/>
            <w:tcMar>
              <w:top w:type="dxa" w:w="60"/>
              <w:left w:type="dxa" w:w="100"/>
              <w:bottom w:type="dxa" w:w="60"/>
              <w:right w:type="dxa" w:w="100"/>
            </w:tcMar>
            <w:vAlign w:val="center"/>
          </w:tcPr>
          <w:p>
            <w:pPr>
              <w:spacing w:after="20"/>
            </w:pPr>
            <w:r>
              <w:rPr>
                <w:sz w:val="18"/>
                <w:szCs w:val="18"/>
              </w:rPr>
              <w:t xml:space="preserve">Describes people, events and actions related to world exploration/migration and its effects — bush dances arriving with settler groups.</w:t>
            </w:r>
          </w:p>
        </w:tc>
        <w:tc>
          <w:tcPr>
            <w:tcW w:type="dxa" w:w="1700"/>
            <w:tcMar>
              <w:top w:type="dxa" w:w="60"/>
              <w:left w:type="dxa" w:w="100"/>
              <w:bottom w:type="dxa" w:w="60"/>
              <w:right w:type="dxa" w:w="100"/>
            </w:tcMar>
            <w:vAlign w:val="center"/>
          </w:tcPr>
          <w:p>
            <w:pPr>
              <w:spacing w:after="20"/>
            </w:pPr>
            <w:r>
              <w:rPr>
                <w:sz w:val="18"/>
                <w:szCs w:val="18"/>
              </w:rPr>
              <w:t xml:space="preserve">History</w:t>
            </w:r>
          </w:p>
        </w:tc>
        <w:tc>
          <w:tcPr>
            <w:tcW w:type="dxa" w:w="1200"/>
            <w:tcMar>
              <w:top w:type="dxa" w:w="60"/>
              <w:left w:type="dxa" w:w="100"/>
              <w:bottom w:type="dxa" w:w="60"/>
              <w:right w:type="dxa" w:w="100"/>
            </w:tcMar>
            <w:vAlign w:val="center"/>
          </w:tcPr>
          <w:p>
            <w:pPr>
              <w:spacing w:after="20"/>
            </w:pPr>
            <w:r>
              <w:rPr>
                <w:sz w:val="18"/>
                <w:szCs w:val="18"/>
              </w:rPr>
              <w:t xml:space="preserve">K–10 (2012)</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HT2-4</w:t>
            </w:r>
          </w:p>
        </w:tc>
        <w:tc>
          <w:tcPr>
            <w:tcW w:type="dxa" w:w="5546"/>
            <w:tcMar>
              <w:top w:type="dxa" w:w="60"/>
              <w:left w:type="dxa" w:w="100"/>
              <w:bottom w:type="dxa" w:w="60"/>
              <w:right w:type="dxa" w:w="100"/>
            </w:tcMar>
            <w:vAlign w:val="center"/>
          </w:tcPr>
          <w:p>
            <w:pPr>
              <w:spacing w:after="20"/>
            </w:pPr>
            <w:r>
              <w:rPr>
                <w:sz w:val="18"/>
                <w:szCs w:val="18"/>
              </w:rPr>
              <w:t xml:space="preserve">Describes and explains effects of British colonisation in Australia, including new social and cultural practices.</w:t>
            </w:r>
          </w:p>
        </w:tc>
        <w:tc>
          <w:tcPr>
            <w:tcW w:type="dxa" w:w="1700"/>
            <w:tcMar>
              <w:top w:type="dxa" w:w="60"/>
              <w:left w:type="dxa" w:w="100"/>
              <w:bottom w:type="dxa" w:w="60"/>
              <w:right w:type="dxa" w:w="100"/>
            </w:tcMar>
            <w:vAlign w:val="center"/>
          </w:tcPr>
          <w:p>
            <w:pPr>
              <w:spacing w:after="20"/>
            </w:pPr>
            <w:r>
              <w:rPr>
                <w:sz w:val="18"/>
                <w:szCs w:val="18"/>
              </w:rPr>
              <w:t xml:space="preserve">History</w:t>
            </w:r>
          </w:p>
        </w:tc>
        <w:tc>
          <w:tcPr>
            <w:tcW w:type="dxa" w:w="1200"/>
            <w:tcMar>
              <w:top w:type="dxa" w:w="60"/>
              <w:left w:type="dxa" w:w="100"/>
              <w:bottom w:type="dxa" w:w="60"/>
              <w:right w:type="dxa" w:w="100"/>
            </w:tcMar>
            <w:vAlign w:val="center"/>
          </w:tcPr>
          <w:p>
            <w:pPr>
              <w:spacing w:after="20"/>
            </w:pPr>
            <w:r>
              <w:rPr>
                <w:sz w:val="18"/>
                <w:szCs w:val="18"/>
              </w:rPr>
              <w:t xml:space="preserve">K–10 (2012)</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HT2-5</w:t>
            </w:r>
          </w:p>
        </w:tc>
        <w:tc>
          <w:tcPr>
            <w:tcW w:type="dxa" w:w="5546"/>
            <w:tcMar>
              <w:top w:type="dxa" w:w="60"/>
              <w:left w:type="dxa" w:w="100"/>
              <w:bottom w:type="dxa" w:w="60"/>
              <w:right w:type="dxa" w:w="100"/>
            </w:tcMar>
            <w:vAlign w:val="center"/>
          </w:tcPr>
          <w:p>
            <w:pPr>
              <w:spacing w:after="20"/>
            </w:pPr>
            <w:r>
              <w:rPr>
                <w:sz w:val="18"/>
                <w:szCs w:val="18"/>
              </w:rPr>
              <w:t xml:space="preserve">Applies skills of historical inquiry and communication.</w:t>
            </w:r>
          </w:p>
        </w:tc>
        <w:tc>
          <w:tcPr>
            <w:tcW w:type="dxa" w:w="1700"/>
            <w:tcMar>
              <w:top w:type="dxa" w:w="60"/>
              <w:left w:type="dxa" w:w="100"/>
              <w:bottom w:type="dxa" w:w="60"/>
              <w:right w:type="dxa" w:w="100"/>
            </w:tcMar>
            <w:vAlign w:val="center"/>
          </w:tcPr>
          <w:p>
            <w:pPr>
              <w:spacing w:after="20"/>
            </w:pPr>
            <w:r>
              <w:rPr>
                <w:sz w:val="18"/>
                <w:szCs w:val="18"/>
              </w:rPr>
              <w:t xml:space="preserve">History</w:t>
            </w:r>
          </w:p>
        </w:tc>
        <w:tc>
          <w:tcPr>
            <w:tcW w:type="dxa" w:w="1200"/>
            <w:tcMar>
              <w:top w:type="dxa" w:w="60"/>
              <w:left w:type="dxa" w:w="100"/>
              <w:bottom w:type="dxa" w:w="60"/>
              <w:right w:type="dxa" w:w="100"/>
            </w:tcMar>
            <w:vAlign w:val="center"/>
          </w:tcPr>
          <w:p>
            <w:pPr>
              <w:spacing w:after="20"/>
            </w:pPr>
            <w:r>
              <w:rPr>
                <w:sz w:val="18"/>
                <w:szCs w:val="18"/>
              </w:rPr>
              <w:t xml:space="preserve">K–10 (2012)</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DAS2.1</w:t>
            </w:r>
          </w:p>
        </w:tc>
        <w:tc>
          <w:tcPr>
            <w:tcW w:type="dxa" w:w="5546"/>
            <w:tcMar>
              <w:top w:type="dxa" w:w="60"/>
              <w:left w:type="dxa" w:w="100"/>
              <w:bottom w:type="dxa" w:w="60"/>
              <w:right w:type="dxa" w:w="100"/>
            </w:tcMar>
            <w:vAlign w:val="center"/>
          </w:tcPr>
          <w:p>
            <w:pPr>
              <w:spacing w:after="20"/>
            </w:pPr>
            <w:r>
              <w:rPr>
                <w:sz w:val="18"/>
                <w:szCs w:val="18"/>
              </w:rPr>
              <w:t xml:space="preserve">Performs dances from a range of contexts, demonstrating movement skills, expressive qualities and understanding of dance elements.</w:t>
            </w:r>
          </w:p>
        </w:tc>
        <w:tc>
          <w:tcPr>
            <w:tcW w:type="dxa" w:w="1700"/>
            <w:tcMar>
              <w:top w:type="dxa" w:w="60"/>
              <w:left w:type="dxa" w:w="100"/>
              <w:bottom w:type="dxa" w:w="60"/>
              <w:right w:type="dxa" w:w="100"/>
            </w:tcMar>
            <w:vAlign w:val="center"/>
          </w:tcPr>
          <w:p>
            <w:pPr>
              <w:spacing w:after="20"/>
            </w:pPr>
            <w:r>
              <w:rPr>
                <w:sz w:val="18"/>
                <w:szCs w:val="18"/>
              </w:rPr>
              <w:t xml:space="preserve">Creative Arts (Dance)</w:t>
            </w:r>
          </w:p>
        </w:tc>
        <w:tc>
          <w:tcPr>
            <w:tcW w:type="dxa" w:w="1200"/>
            <w:tcMar>
              <w:top w:type="dxa" w:w="60"/>
              <w:left w:type="dxa" w:w="100"/>
              <w:bottom w:type="dxa" w:w="60"/>
              <w:right w:type="dxa" w:w="100"/>
            </w:tcMar>
            <w:vAlign w:val="center"/>
          </w:tcPr>
          <w:p>
            <w:pPr>
              <w:spacing w:after="20"/>
            </w:pPr>
            <w:r>
              <w:rPr>
                <w:sz w:val="18"/>
                <w:szCs w:val="18"/>
              </w:rPr>
              <w:t xml:space="preserve">K–6 (2006)</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DAS2.2</w:t>
            </w:r>
          </w:p>
        </w:tc>
        <w:tc>
          <w:tcPr>
            <w:tcW w:type="dxa" w:w="5546"/>
            <w:tcMar>
              <w:top w:type="dxa" w:w="60"/>
              <w:left w:type="dxa" w:w="100"/>
              <w:bottom w:type="dxa" w:w="60"/>
              <w:right w:type="dxa" w:w="100"/>
            </w:tcMar>
            <w:vAlign w:val="center"/>
          </w:tcPr>
          <w:p>
            <w:pPr>
              <w:spacing w:after="20"/>
            </w:pPr>
            <w:r>
              <w:rPr>
                <w:sz w:val="18"/>
                <w:szCs w:val="18"/>
              </w:rPr>
              <w:t xml:space="preserve">Explores, selects and combines movement using the elements of dance to communicate ideas, feelings or moods.</w:t>
            </w:r>
          </w:p>
        </w:tc>
        <w:tc>
          <w:tcPr>
            <w:tcW w:type="dxa" w:w="1700"/>
            <w:tcMar>
              <w:top w:type="dxa" w:w="60"/>
              <w:left w:type="dxa" w:w="100"/>
              <w:bottom w:type="dxa" w:w="60"/>
              <w:right w:type="dxa" w:w="100"/>
            </w:tcMar>
            <w:vAlign w:val="center"/>
          </w:tcPr>
          <w:p>
            <w:pPr>
              <w:spacing w:after="20"/>
            </w:pPr>
            <w:r>
              <w:rPr>
                <w:sz w:val="18"/>
                <w:szCs w:val="18"/>
              </w:rPr>
              <w:t xml:space="preserve">Creative Arts (Dance)</w:t>
            </w:r>
          </w:p>
        </w:tc>
        <w:tc>
          <w:tcPr>
            <w:tcW w:type="dxa" w:w="1200"/>
            <w:tcMar>
              <w:top w:type="dxa" w:w="60"/>
              <w:left w:type="dxa" w:w="100"/>
              <w:bottom w:type="dxa" w:w="60"/>
              <w:right w:type="dxa" w:w="100"/>
            </w:tcMar>
            <w:vAlign w:val="center"/>
          </w:tcPr>
          <w:p>
            <w:pPr>
              <w:spacing w:after="20"/>
            </w:pPr>
            <w:r>
              <w:rPr>
                <w:sz w:val="18"/>
                <w:szCs w:val="18"/>
              </w:rPr>
              <w:t xml:space="preserve">K–6 (2006)</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DAS2.3</w:t>
            </w:r>
          </w:p>
        </w:tc>
        <w:tc>
          <w:tcPr>
            <w:tcW w:type="dxa" w:w="5546"/>
            <w:tcMar>
              <w:top w:type="dxa" w:w="60"/>
              <w:left w:type="dxa" w:w="100"/>
              <w:bottom w:type="dxa" w:w="60"/>
              <w:right w:type="dxa" w:w="100"/>
            </w:tcMar>
            <w:vAlign w:val="center"/>
          </w:tcPr>
          <w:p>
            <w:pPr>
              <w:spacing w:after="20"/>
            </w:pPr>
            <w:r>
              <w:rPr>
                <w:sz w:val="18"/>
                <w:szCs w:val="18"/>
              </w:rPr>
              <w:t xml:space="preserve">Gives personal opinions about the use of elements and meaning in their own and others' dances.</w:t>
            </w:r>
          </w:p>
        </w:tc>
        <w:tc>
          <w:tcPr>
            <w:tcW w:type="dxa" w:w="1700"/>
            <w:tcMar>
              <w:top w:type="dxa" w:w="60"/>
              <w:left w:type="dxa" w:w="100"/>
              <w:bottom w:type="dxa" w:w="60"/>
              <w:right w:type="dxa" w:w="100"/>
            </w:tcMar>
            <w:vAlign w:val="center"/>
          </w:tcPr>
          <w:p>
            <w:pPr>
              <w:spacing w:after="20"/>
            </w:pPr>
            <w:r>
              <w:rPr>
                <w:sz w:val="18"/>
                <w:szCs w:val="18"/>
              </w:rPr>
              <w:t xml:space="preserve">Creative Arts (Dance)</w:t>
            </w:r>
          </w:p>
        </w:tc>
        <w:tc>
          <w:tcPr>
            <w:tcW w:type="dxa" w:w="1200"/>
            <w:tcMar>
              <w:top w:type="dxa" w:w="60"/>
              <w:left w:type="dxa" w:w="100"/>
              <w:bottom w:type="dxa" w:w="60"/>
              <w:right w:type="dxa" w:w="100"/>
            </w:tcMar>
            <w:vAlign w:val="center"/>
          </w:tcPr>
          <w:p>
            <w:pPr>
              <w:spacing w:after="20"/>
            </w:pPr>
            <w:r>
              <w:rPr>
                <w:sz w:val="18"/>
                <w:szCs w:val="18"/>
              </w:rPr>
              <w:t xml:space="preserve">K–6 (2006)</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MOS2.4</w:t>
            </w:r>
          </w:p>
        </w:tc>
        <w:tc>
          <w:tcPr>
            <w:tcW w:type="dxa" w:w="5546"/>
            <w:tcMar>
              <w:top w:type="dxa" w:w="60"/>
              <w:left w:type="dxa" w:w="100"/>
              <w:bottom w:type="dxa" w:w="60"/>
              <w:right w:type="dxa" w:w="100"/>
            </w:tcMar>
            <w:vAlign w:val="center"/>
          </w:tcPr>
          <w:p>
            <w:pPr>
              <w:spacing w:after="20"/>
            </w:pPr>
            <w:r>
              <w:rPr>
                <w:sz w:val="18"/>
                <w:szCs w:val="18"/>
              </w:rPr>
              <w:t xml:space="preserve">Displays a focus on quality of movement in applying movement skills to familiar and new situations.</w:t>
            </w:r>
          </w:p>
        </w:tc>
        <w:tc>
          <w:tcPr>
            <w:tcW w:type="dxa" w:w="1700"/>
            <w:tcMar>
              <w:top w:type="dxa" w:w="60"/>
              <w:left w:type="dxa" w:w="100"/>
              <w:bottom w:type="dxa" w:w="60"/>
              <w:right w:type="dxa" w:w="100"/>
            </w:tcMar>
            <w:vAlign w:val="center"/>
          </w:tcPr>
          <w:p>
            <w:pPr>
              <w:spacing w:after="20"/>
            </w:pPr>
            <w:r>
              <w:rPr>
                <w:sz w:val="18"/>
                <w:szCs w:val="18"/>
              </w:rPr>
              <w:t xml:space="preserve">PDHPE</w:t>
            </w:r>
          </w:p>
        </w:tc>
        <w:tc>
          <w:tcPr>
            <w:tcW w:type="dxa" w:w="1200"/>
            <w:tcMar>
              <w:top w:type="dxa" w:w="60"/>
              <w:left w:type="dxa" w:w="100"/>
              <w:bottom w:type="dxa" w:w="60"/>
              <w:right w:type="dxa" w:w="100"/>
            </w:tcMar>
            <w:vAlign w:val="center"/>
          </w:tcPr>
          <w:p>
            <w:pPr>
              <w:spacing w:after="20"/>
            </w:pPr>
            <w:r>
              <w:rPr>
                <w:sz w:val="18"/>
                <w:szCs w:val="18"/>
              </w:rPr>
              <w:t xml:space="preserve">K–10 (2018)</w:t>
            </w:r>
          </w:p>
        </w:tc>
      </w:tr>
      <w:tr>
        <w:tc>
          <w:tcPr>
            <w:tcW w:type="dxa" w:w="1300"/>
            <w:tcMar>
              <w:top w:type="dxa" w:w="60"/>
              <w:left w:type="dxa" w:w="100"/>
              <w:bottom w:type="dxa" w:w="60"/>
              <w:right w:type="dxa" w:w="100"/>
            </w:tcMar>
            <w:vAlign w:val="center"/>
          </w:tcPr>
          <w:p>
            <w:pPr>
              <w:spacing w:after="20"/>
            </w:pPr>
            <w:r>
              <w:rPr>
                <w:b/>
                <w:bCs/>
                <w:color w:val="0C2D28"/>
                <w:sz w:val="18"/>
                <w:szCs w:val="18"/>
              </w:rPr>
              <w:t xml:space="preserve">ALS2.6</w:t>
            </w:r>
          </w:p>
        </w:tc>
        <w:tc>
          <w:tcPr>
            <w:tcW w:type="dxa" w:w="5546"/>
            <w:tcMar>
              <w:top w:type="dxa" w:w="60"/>
              <w:left w:type="dxa" w:w="100"/>
              <w:bottom w:type="dxa" w:w="60"/>
              <w:right w:type="dxa" w:w="100"/>
            </w:tcMar>
            <w:vAlign w:val="center"/>
          </w:tcPr>
          <w:p>
            <w:pPr>
              <w:spacing w:after="20"/>
            </w:pPr>
            <w:r>
              <w:rPr>
                <w:sz w:val="18"/>
                <w:szCs w:val="18"/>
              </w:rPr>
              <w:t xml:space="preserve">Discusses the benefits of participation in a range of physical activities.</w:t>
            </w:r>
          </w:p>
        </w:tc>
        <w:tc>
          <w:tcPr>
            <w:tcW w:type="dxa" w:w="1700"/>
            <w:tcMar>
              <w:top w:type="dxa" w:w="60"/>
              <w:left w:type="dxa" w:w="100"/>
              <w:bottom w:type="dxa" w:w="60"/>
              <w:right w:type="dxa" w:w="100"/>
            </w:tcMar>
            <w:vAlign w:val="center"/>
          </w:tcPr>
          <w:p>
            <w:pPr>
              <w:spacing w:after="20"/>
            </w:pPr>
            <w:r>
              <w:rPr>
                <w:sz w:val="18"/>
                <w:szCs w:val="18"/>
              </w:rPr>
              <w:t xml:space="preserve">PDHPE</w:t>
            </w:r>
          </w:p>
        </w:tc>
        <w:tc>
          <w:tcPr>
            <w:tcW w:type="dxa" w:w="1200"/>
            <w:tcMar>
              <w:top w:type="dxa" w:w="60"/>
              <w:left w:type="dxa" w:w="100"/>
              <w:bottom w:type="dxa" w:w="60"/>
              <w:right w:type="dxa" w:w="100"/>
            </w:tcMar>
            <w:vAlign w:val="center"/>
          </w:tcPr>
          <w:p>
            <w:pPr>
              <w:spacing w:after="20"/>
            </w:pPr>
            <w:r>
              <w:rPr>
                <w:sz w:val="18"/>
                <w:szCs w:val="18"/>
              </w:rPr>
              <w:t xml:space="preserve">K–10 (2018)</w:t>
            </w:r>
          </w:p>
        </w:tc>
      </w:tr>
    </w:tbl>
    <w:p>
      <w:pPr>
        <w:spacing w:after="160"/>
      </w:pPr>
    </w:p>
    <w:p>
      <w:pPr>
        <w:pStyle w:val="Heading1"/>
        <w:pBdr>
          <w:bottom w:val="single" w:color="3F6B5A" w:sz="4" w:space="3"/>
        </w:pBdr>
        <w:spacing w:after="120" w:before="260"/>
      </w:pPr>
      <w:r>
        <w:rPr>
          <w:b/>
          <w:bCs/>
          <w:color w:val="0C2D28"/>
          <w:sz w:val="26"/>
          <w:szCs w:val="26"/>
        </w:rPr>
        <w:t xml:space="preserve">Equipment &amp; preparation</w:t>
      </w:r>
    </w:p>
    <w:p>
      <w:pPr>
        <w:pStyle w:val="ListParagraph"/>
        <w:numPr>
          <w:ilvl w:val="0"/>
          <w:numId w:val="2"/>
        </w:numPr>
        <w:spacing w:after="40"/>
      </w:pPr>
      <w:r>
        <w:rPr>
          <w:sz w:val="20"/>
          <w:szCs w:val="20"/>
        </w:rPr>
        <w:t xml:space="preserve">Cleared hall/flat space, roughly 1.5m x 1.5m per student</w:t>
      </w:r>
    </w:p>
    <w:p>
      <w:pPr>
        <w:pStyle w:val="ListParagraph"/>
        <w:numPr>
          <w:ilvl w:val="0"/>
          <w:numId w:val="2"/>
        </w:numPr>
        <w:spacing w:after="40"/>
      </w:pPr>
      <w:r>
        <w:rPr>
          <w:sz w:val="20"/>
          <w:szCs w:val="20"/>
        </w:rPr>
        <w:t xml:space="preserve">Live music: violin (presenter) and guitar (accompanist) — no speaker/playlist required</w:t>
      </w:r>
    </w:p>
    <w:p>
      <w:pPr>
        <w:pStyle w:val="ListParagraph"/>
        <w:numPr>
          <w:ilvl w:val="0"/>
          <w:numId w:val="2"/>
        </w:numPr>
        <w:spacing w:after="40"/>
      </w:pPr>
      <w:r>
        <w:rPr>
          <w:sz w:val="20"/>
          <w:szCs w:val="20"/>
        </w:rPr>
        <w:t xml:space="preserve">Presenter calls the dance live throughout — no separate caller track needed</w:t>
      </w:r>
    </w:p>
    <w:p>
      <w:pPr>
        <w:pStyle w:val="ListParagraph"/>
        <w:numPr>
          <w:ilvl w:val="0"/>
          <w:numId w:val="2"/>
        </w:numPr>
        <w:spacing w:after="40"/>
      </w:pPr>
      <w:r>
        <w:rPr>
          <w:sz w:val="20"/>
          <w:szCs w:val="20"/>
        </w:rPr>
        <w:t xml:space="preserve">Optional: 2–3 large images of colonial-era bush dances or First Fleet arrival (for the history talk)</w:t>
      </w:r>
    </w:p>
    <w:p>
      <w:pPr>
        <w:pStyle w:val="ListParagraph"/>
        <w:numPr>
          <w:ilvl w:val="0"/>
          <w:numId w:val="2"/>
        </w:numPr>
        <w:spacing w:after="40"/>
      </w:pPr>
      <w:r>
        <w:rPr>
          <w:sz w:val="20"/>
          <w:szCs w:val="20"/>
        </w:rPr>
        <w:t xml:space="preserve">Name tags or coloured wristbands if allocating dance partners/sets</w:t>
      </w:r>
    </w:p>
    <w:p>
      <w:pPr>
        <w:pStyle w:val="Heading1"/>
        <w:pBdr>
          <w:bottom w:val="single" w:color="3F6B5A" w:sz="4" w:space="3"/>
        </w:pBdr>
        <w:spacing w:after="120" w:before="260"/>
      </w:pPr>
      <w:r>
        <w:rPr>
          <w:b/>
          <w:bCs/>
          <w:color w:val="0C2D28"/>
          <w:sz w:val="26"/>
          <w:szCs w:val="26"/>
        </w:rPr>
        <w:t xml:space="preserve">Lesson sequence (60 minutes)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100"/>
        <w:gridCol w:w="1500"/>
        <w:gridCol w:w="4646"/>
        <w:gridCol w:w="2500"/>
      </w:tblGrid>
      <w:tr>
        <w:trPr>
          <w:tblHeader/>
        </w:trPr>
        <w:tc>
          <w:tcPr>
            <w:tcW w:type="dxa" w:w="1100"/>
            <w:shd w:fill="3F6B5A" w:val="clear"/>
            <w:tcMar>
              <w:top w:type="dxa" w:w="60"/>
              <w:left w:type="dxa" w:w="100"/>
              <w:bottom w:type="dxa" w:w="60"/>
              <w:right w:type="dxa" w:w="100"/>
            </w:tcMar>
            <w:vAlign w:val="center"/>
          </w:tcPr>
          <w:p>
            <w:pPr>
              <w:spacing w:after="20"/>
            </w:pPr>
            <w:r>
              <w:rPr>
                <w:b/>
                <w:bCs/>
                <w:color w:val="FFFFFF"/>
                <w:sz w:val="18"/>
                <w:szCs w:val="18"/>
              </w:rPr>
              <w:t xml:space="preserve">Time</w:t>
            </w:r>
          </w:p>
        </w:tc>
        <w:tc>
          <w:tcPr>
            <w:tcW w:type="dxa" w:w="1500"/>
            <w:shd w:fill="3F6B5A" w:val="clear"/>
            <w:tcMar>
              <w:top w:type="dxa" w:w="60"/>
              <w:left w:type="dxa" w:w="100"/>
              <w:bottom w:type="dxa" w:w="60"/>
              <w:right w:type="dxa" w:w="100"/>
            </w:tcMar>
            <w:vAlign w:val="center"/>
          </w:tcPr>
          <w:p>
            <w:pPr>
              <w:spacing w:after="20"/>
            </w:pPr>
            <w:r>
              <w:rPr>
                <w:b/>
                <w:bCs/>
                <w:color w:val="FFFFFF"/>
                <w:sz w:val="18"/>
                <w:szCs w:val="18"/>
              </w:rPr>
              <w:t xml:space="preserve">Segment</w:t>
            </w:r>
          </w:p>
        </w:tc>
        <w:tc>
          <w:tcPr>
            <w:tcW w:type="dxa" w:w="4646"/>
            <w:shd w:fill="3F6B5A" w:val="clear"/>
            <w:tcMar>
              <w:top w:type="dxa" w:w="60"/>
              <w:left w:type="dxa" w:w="100"/>
              <w:bottom w:type="dxa" w:w="60"/>
              <w:right w:type="dxa" w:w="100"/>
            </w:tcMar>
            <w:vAlign w:val="center"/>
          </w:tcPr>
          <w:p>
            <w:pPr>
              <w:spacing w:after="20"/>
            </w:pPr>
            <w:r>
              <w:rPr>
                <w:b/>
                <w:bCs/>
                <w:color w:val="FFFFFF"/>
                <w:sz w:val="18"/>
                <w:szCs w:val="18"/>
              </w:rPr>
              <w:t xml:space="preserve">Teaching &amp; learning activity</w:t>
            </w:r>
          </w:p>
        </w:tc>
        <w:tc>
          <w:tcPr>
            <w:tcW w:type="dxa" w:w="2500"/>
            <w:shd w:fill="3F6B5A" w:val="clear"/>
            <w:tcMar>
              <w:top w:type="dxa" w:w="60"/>
              <w:left w:type="dxa" w:w="100"/>
              <w:bottom w:type="dxa" w:w="60"/>
              <w:right w:type="dxa" w:w="100"/>
            </w:tcMar>
            <w:vAlign w:val="center"/>
          </w:tcPr>
          <w:p>
            <w:pPr>
              <w:spacing w:after="20"/>
            </w:pPr>
            <w:r>
              <w:rPr>
                <w:b/>
                <w:bCs/>
                <w:color w:val="FFFFFF"/>
                <w:sz w:val="18"/>
                <w:szCs w:val="18"/>
              </w:rPr>
              <w:t xml:space="preserve">Curriculum outcomes targeted</w:t>
            </w:r>
          </w:p>
        </w:tc>
      </w:tr>
      <w:tr>
        <w:tc>
          <w:tcPr>
            <w:tcW w:type="dxa" w:w="1100"/>
            <w:tcMar>
              <w:top w:type="dxa" w:w="60"/>
              <w:left w:type="dxa" w:w="100"/>
              <w:bottom w:type="dxa" w:w="60"/>
              <w:right w:type="dxa" w:w="100"/>
            </w:tcMar>
            <w:vAlign w:val="center"/>
          </w:tcPr>
          <w:p>
            <w:pPr>
              <w:spacing w:after="20"/>
            </w:pPr>
            <w:r>
              <w:rPr>
                <w:sz w:val="18"/>
                <w:szCs w:val="18"/>
              </w:rPr>
              <w:t xml:space="preserve">0–10 min</w:t>
            </w:r>
          </w:p>
        </w:tc>
        <w:tc>
          <w:tcPr>
            <w:tcW w:type="dxa" w:w="1500"/>
            <w:tcMar>
              <w:top w:type="dxa" w:w="60"/>
              <w:left w:type="dxa" w:w="100"/>
              <w:bottom w:type="dxa" w:w="60"/>
              <w:right w:type="dxa" w:w="100"/>
            </w:tcMar>
            <w:vAlign w:val="center"/>
          </w:tcPr>
          <w:p>
            <w:pPr>
              <w:spacing w:after="20"/>
            </w:pPr>
            <w:r>
              <w:rPr>
                <w:b/>
                <w:bCs/>
                <w:sz w:val="18"/>
                <w:szCs w:val="18"/>
              </w:rPr>
              <w:t xml:space="preserve">Settle &amp; warm-up</w:t>
            </w:r>
          </w:p>
        </w:tc>
        <w:tc>
          <w:tcPr>
            <w:tcW w:type="dxa" w:w="4646"/>
            <w:tcMar>
              <w:top w:type="dxa" w:w="60"/>
              <w:left w:type="dxa" w:w="100"/>
              <w:bottom w:type="dxa" w:w="60"/>
              <w:right w:type="dxa" w:w="100"/>
            </w:tcMar>
            <w:vAlign w:val="center"/>
          </w:tcPr>
          <w:p>
            <w:pPr>
              <w:spacing w:after="20"/>
            </w:pPr>
            <w:r>
              <w:rPr>
                <w:sz w:val="18"/>
                <w:szCs w:val="18"/>
              </w:rPr>
              <w:t xml:space="preserve">Welcome the class, settle students into a large circle, set expectations for a shared music-and-movement space. Gentle warm-up: walk, skip, gallop and clap in time with a short live tune to build locomotor control and group focus.</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MOS2.4</w:t>
            </w:r>
          </w:p>
        </w:tc>
      </w:tr>
      <w:tr>
        <w:tc>
          <w:tcPr>
            <w:tcW w:type="dxa" w:w="1100"/>
            <w:tcMar>
              <w:top w:type="dxa" w:w="60"/>
              <w:left w:type="dxa" w:w="100"/>
              <w:bottom w:type="dxa" w:w="60"/>
              <w:right w:type="dxa" w:w="100"/>
            </w:tcMar>
            <w:vAlign w:val="center"/>
          </w:tcPr>
          <w:p>
            <w:pPr>
              <w:spacing w:after="20"/>
            </w:pPr>
            <w:r>
              <w:rPr>
                <w:sz w:val="18"/>
                <w:szCs w:val="18"/>
              </w:rPr>
              <w:t xml:space="preserve">10–18 min</w:t>
            </w:r>
          </w:p>
        </w:tc>
        <w:tc>
          <w:tcPr>
            <w:tcW w:type="dxa" w:w="1500"/>
            <w:tcMar>
              <w:top w:type="dxa" w:w="60"/>
              <w:left w:type="dxa" w:w="100"/>
              <w:bottom w:type="dxa" w:w="60"/>
              <w:right w:type="dxa" w:w="100"/>
            </w:tcMar>
            <w:vAlign w:val="center"/>
          </w:tcPr>
          <w:p>
            <w:pPr>
              <w:spacing w:after="20"/>
            </w:pPr>
            <w:r>
              <w:rPr>
                <w:b/>
                <w:bCs/>
                <w:sz w:val="18"/>
                <w:szCs w:val="18"/>
              </w:rPr>
              <w:t xml:space="preserve">History yarn</w:t>
            </w:r>
          </w:p>
        </w:tc>
        <w:tc>
          <w:tcPr>
            <w:tcW w:type="dxa" w:w="4646"/>
            <w:tcMar>
              <w:top w:type="dxa" w:w="60"/>
              <w:left w:type="dxa" w:w="100"/>
              <w:bottom w:type="dxa" w:w="60"/>
              <w:right w:type="dxa" w:w="100"/>
            </w:tcMar>
            <w:vAlign w:val="center"/>
          </w:tcPr>
          <w:p>
            <w:pPr>
              <w:spacing w:after="20"/>
            </w:pPr>
            <w:r>
              <w:rPr>
                <w:sz w:val="18"/>
                <w:szCs w:val="18"/>
              </w:rPr>
              <w:t xml:space="preserve">Short interactive talk with images: Who came to the colony on the First Fleet and afterwards? Where did their dances come from (Irish, Scottish, English folk traditions)? Why did communities dance together in the bush?</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HT2-3, HT2-4</w:t>
            </w:r>
          </w:p>
        </w:tc>
      </w:tr>
      <w:tr>
        <w:tc>
          <w:tcPr>
            <w:tcW w:type="dxa" w:w="1100"/>
            <w:tcMar>
              <w:top w:type="dxa" w:w="60"/>
              <w:left w:type="dxa" w:w="100"/>
              <w:bottom w:type="dxa" w:w="60"/>
              <w:right w:type="dxa" w:w="100"/>
            </w:tcMar>
            <w:vAlign w:val="center"/>
          </w:tcPr>
          <w:p>
            <w:pPr>
              <w:spacing w:after="20"/>
            </w:pPr>
            <w:r>
              <w:rPr>
                <w:sz w:val="18"/>
                <w:szCs w:val="18"/>
              </w:rPr>
              <w:t xml:space="preserve">18–53 min</w:t>
            </w:r>
          </w:p>
        </w:tc>
        <w:tc>
          <w:tcPr>
            <w:tcW w:type="dxa" w:w="1500"/>
            <w:tcMar>
              <w:top w:type="dxa" w:w="60"/>
              <w:left w:type="dxa" w:w="100"/>
              <w:bottom w:type="dxa" w:w="60"/>
              <w:right w:type="dxa" w:w="100"/>
            </w:tcMar>
            <w:vAlign w:val="center"/>
          </w:tcPr>
          <w:p>
            <w:pPr>
              <w:spacing w:after="20"/>
            </w:pPr>
            <w:r>
              <w:rPr>
                <w:b/>
                <w:bCs/>
                <w:sz w:val="18"/>
                <w:szCs w:val="18"/>
              </w:rPr>
              <w:t xml:space="preserve">Teach, live music &amp; perform: Heel &amp; Toe Polka</w:t>
            </w:r>
          </w:p>
        </w:tc>
        <w:tc>
          <w:tcPr>
            <w:tcW w:type="dxa" w:w="4646"/>
            <w:tcMar>
              <w:top w:type="dxa" w:w="60"/>
              <w:left w:type="dxa" w:w="100"/>
              <w:bottom w:type="dxa" w:w="60"/>
              <w:right w:type="dxa" w:w="100"/>
            </w:tcMar>
            <w:vAlign w:val="center"/>
          </w:tcPr>
          <w:p>
            <w:pPr>
              <w:spacing w:after="20"/>
            </w:pPr>
            <w:r>
              <w:rPr>
                <w:sz w:val="18"/>
                <w:szCs w:val="18"/>
              </w:rPr>
              <w:t xml:space="preserve">Presenter teaches the Heel &amp; Toe Polka step-by-step (walk-through, then heel-and-toe pattern, then polka step), calling each stage live while the guitarist joins in. Build from slow tempo to full performance tempo with live violin and guitar, repeating and refining formations and partner work.</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DAS2.1, DAS2.2, MOS2.4, ALS2.6</w:t>
            </w:r>
          </w:p>
        </w:tc>
      </w:tr>
      <w:tr>
        <w:tc>
          <w:tcPr>
            <w:tcW w:type="dxa" w:w="1100"/>
            <w:tcMar>
              <w:top w:type="dxa" w:w="60"/>
              <w:left w:type="dxa" w:w="100"/>
              <w:bottom w:type="dxa" w:w="60"/>
              <w:right w:type="dxa" w:w="100"/>
            </w:tcMar>
            <w:vAlign w:val="center"/>
          </w:tcPr>
          <w:p>
            <w:pPr>
              <w:spacing w:after="20"/>
            </w:pPr>
            <w:r>
              <w:rPr>
                <w:sz w:val="18"/>
                <w:szCs w:val="18"/>
              </w:rPr>
              <w:t xml:space="preserve">53–58 min</w:t>
            </w:r>
          </w:p>
        </w:tc>
        <w:tc>
          <w:tcPr>
            <w:tcW w:type="dxa" w:w="1500"/>
            <w:tcMar>
              <w:top w:type="dxa" w:w="60"/>
              <w:left w:type="dxa" w:w="100"/>
              <w:bottom w:type="dxa" w:w="60"/>
              <w:right w:type="dxa" w:w="100"/>
            </w:tcMar>
            <w:vAlign w:val="center"/>
          </w:tcPr>
          <w:p>
            <w:pPr>
              <w:spacing w:after="20"/>
            </w:pPr>
            <w:r>
              <w:rPr>
                <w:b/>
                <w:bCs/>
                <w:sz w:val="18"/>
                <w:szCs w:val="18"/>
              </w:rPr>
              <w:t xml:space="preserve">Reflect &amp; share</w:t>
            </w:r>
          </w:p>
        </w:tc>
        <w:tc>
          <w:tcPr>
            <w:tcW w:type="dxa" w:w="4646"/>
            <w:tcMar>
              <w:top w:type="dxa" w:w="60"/>
              <w:left w:type="dxa" w:w="100"/>
              <w:bottom w:type="dxa" w:w="60"/>
              <w:right w:type="dxa" w:w="100"/>
            </w:tcMar>
            <w:vAlign w:val="center"/>
          </w:tcPr>
          <w:p>
            <w:pPr>
              <w:spacing w:after="20"/>
            </w:pPr>
            <w:r>
              <w:rPr>
                <w:sz w:val="18"/>
                <w:szCs w:val="18"/>
              </w:rPr>
              <w:t xml:space="preserve">Turn-and-talk then 3–4 volunteers share: 'What story do you think the Heel &amp; Toe Polka was telling? How did dancing to live music make you feel?'</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DAS2.3, HT2-5</w:t>
            </w:r>
          </w:p>
        </w:tc>
      </w:tr>
      <w:tr>
        <w:tc>
          <w:tcPr>
            <w:tcW w:type="dxa" w:w="1100"/>
            <w:tcMar>
              <w:top w:type="dxa" w:w="60"/>
              <w:left w:type="dxa" w:w="100"/>
              <w:bottom w:type="dxa" w:w="60"/>
              <w:right w:type="dxa" w:w="100"/>
            </w:tcMar>
            <w:vAlign w:val="center"/>
          </w:tcPr>
          <w:p>
            <w:pPr>
              <w:spacing w:after="20"/>
            </w:pPr>
            <w:r>
              <w:rPr>
                <w:sz w:val="18"/>
                <w:szCs w:val="18"/>
              </w:rPr>
              <w:t xml:space="preserve">58–60 min</w:t>
            </w:r>
          </w:p>
        </w:tc>
        <w:tc>
          <w:tcPr>
            <w:tcW w:type="dxa" w:w="1500"/>
            <w:tcMar>
              <w:top w:type="dxa" w:w="60"/>
              <w:left w:type="dxa" w:w="100"/>
              <w:bottom w:type="dxa" w:w="60"/>
              <w:right w:type="dxa" w:w="100"/>
            </w:tcMar>
            <w:vAlign w:val="center"/>
          </w:tcPr>
          <w:p>
            <w:pPr>
              <w:spacing w:after="20"/>
            </w:pPr>
            <w:r>
              <w:rPr>
                <w:b/>
                <w:bCs/>
                <w:sz w:val="18"/>
                <w:szCs w:val="18"/>
              </w:rPr>
              <w:t xml:space="preserve">Cool down</w:t>
            </w:r>
          </w:p>
        </w:tc>
        <w:tc>
          <w:tcPr>
            <w:tcW w:type="dxa" w:w="4646"/>
            <w:tcMar>
              <w:top w:type="dxa" w:w="60"/>
              <w:left w:type="dxa" w:w="100"/>
              <w:bottom w:type="dxa" w:w="60"/>
              <w:right w:type="dxa" w:w="100"/>
            </w:tcMar>
            <w:vAlign w:val="center"/>
          </w:tcPr>
          <w:p>
            <w:pPr>
              <w:spacing w:after="20"/>
            </w:pPr>
            <w:r>
              <w:rPr>
                <w:sz w:val="18"/>
                <w:szCs w:val="18"/>
              </w:rPr>
              <w:t xml:space="preserve">Slow stretch and thank-you circle; preview follow-up classroom task.</w:t>
            </w:r>
          </w:p>
        </w:tc>
        <w:tc>
          <w:tcPr>
            <w:tcW w:type="dxa" w:w="2500"/>
            <w:tcMar>
              <w:top w:type="dxa" w:w="60"/>
              <w:left w:type="dxa" w:w="100"/>
              <w:bottom w:type="dxa" w:w="60"/>
              <w:right w:type="dxa" w:w="100"/>
            </w:tcMar>
            <w:vAlign w:val="center"/>
          </w:tcPr>
          <w:p>
            <w:pPr>
              <w:spacing w:after="20"/>
            </w:pPr>
            <w:r>
              <w:rPr>
                <w:b/>
                <w:bCs/>
                <w:color w:val="0C2D28"/>
                <w:sz w:val="18"/>
                <w:szCs w:val="18"/>
              </w:rPr>
              <w:t xml:space="preserve">MOS2.4</w:t>
            </w:r>
          </w:p>
        </w:tc>
      </w:tr>
    </w:tbl>
    <w:p>
      <w:pPr>
        <w:spacing w:after="160"/>
      </w:pPr>
    </w:p>
    <w:p>
      <w:pPr>
        <w:pStyle w:val="Heading1"/>
        <w:pBdr>
          <w:bottom w:val="single" w:color="3F6B5A" w:sz="4" w:space="3"/>
        </w:pBdr>
        <w:spacing w:after="120" w:before="260"/>
      </w:pPr>
      <w:r>
        <w:rPr>
          <w:b/>
          <w:bCs/>
          <w:color w:val="0C2D28"/>
          <w:sz w:val="26"/>
          <w:szCs w:val="26"/>
        </w:rPr>
        <w:t xml:space="preserve">Assessment</w:t>
      </w:r>
    </w:p>
    <w:p>
      <w:pPr>
        <w:pStyle w:val="ListParagraph"/>
        <w:numPr>
          <w:ilvl w:val="0"/>
          <w:numId w:val="2"/>
        </w:numPr>
        <w:spacing w:after="40"/>
      </w:pPr>
      <w:r>
        <w:rPr>
          <w:sz w:val="20"/>
          <w:szCs w:val="20"/>
        </w:rPr>
        <w:t xml:space="preserve">Teacher observation checklist against DAS2.1/MOS2.4 (movement quality) during the Teach, Live Music &amp; Perform segment.</w:t>
      </w:r>
    </w:p>
    <w:p>
      <w:pPr>
        <w:pStyle w:val="ListParagraph"/>
        <w:numPr>
          <w:ilvl w:val="0"/>
          <w:numId w:val="2"/>
        </w:numPr>
        <w:spacing w:after="40"/>
      </w:pPr>
      <w:r>
        <w:rPr>
          <w:sz w:val="20"/>
          <w:szCs w:val="20"/>
        </w:rPr>
        <w:t xml:space="preserve">Anecdotal notes on 3–4 student responses during Reflect &amp; Share, coded against DAS2.3 and HT2-5.</w:t>
      </w:r>
    </w:p>
    <w:p>
      <w:pPr>
        <w:pStyle w:val="ListParagraph"/>
        <w:numPr>
          <w:ilvl w:val="0"/>
          <w:numId w:val="2"/>
        </w:numPr>
        <w:spacing w:after="40"/>
      </w:pPr>
      <w:r>
        <w:rPr>
          <w:sz w:val="20"/>
          <w:szCs w:val="20"/>
        </w:rPr>
        <w:t xml:space="preserve">Exit ticket (1 sentence): 'One thing I learned about colonial Australia from the Heel &amp; Toe Polka was…' — evidence for HT2-4.</w:t>
      </w:r>
    </w:p>
    <w:p>
      <w:pPr>
        <w:pStyle w:val="Heading1"/>
        <w:pBdr>
          <w:bottom w:val="single" w:color="3F6B5A" w:sz="4" w:space="3"/>
        </w:pBdr>
        <w:spacing w:after="120" w:before="260"/>
      </w:pPr>
      <w:r>
        <w:rPr>
          <w:b/>
          <w:bCs/>
          <w:color w:val="0C2D28"/>
          <w:sz w:val="26"/>
          <w:szCs w:val="26"/>
        </w:rPr>
        <w:t xml:space="preserve">Differentiation</w:t>
      </w:r>
    </w:p>
    <w:p>
      <w:pPr>
        <w:pStyle w:val="ListParagraph"/>
        <w:numPr>
          <w:ilvl w:val="0"/>
          <w:numId w:val="2"/>
        </w:numPr>
        <w:spacing w:after="40"/>
      </w:pPr>
      <w:r>
        <w:rPr>
          <w:sz w:val="20"/>
          <w:szCs w:val="20"/>
        </w:rPr>
        <w:t xml:space="preserve">Pair students needing extra support with a confident peer 'dance buddy' for formations.</w:t>
      </w:r>
    </w:p>
    <w:p>
      <w:pPr>
        <w:pStyle w:val="ListParagraph"/>
        <w:numPr>
          <w:ilvl w:val="0"/>
          <w:numId w:val="2"/>
        </w:numPr>
        <w:spacing w:after="40"/>
      </w:pPr>
      <w:r>
        <w:rPr>
          <w:sz w:val="20"/>
          <w:szCs w:val="20"/>
        </w:rPr>
        <w:t xml:space="preserve">Offer a seated/adapted version of steps (arm and upper-body patterns) for students with mobility needs.</w:t>
      </w:r>
    </w:p>
    <w:p>
      <w:pPr>
        <w:pStyle w:val="ListParagraph"/>
        <w:numPr>
          <w:ilvl w:val="0"/>
          <w:numId w:val="2"/>
        </w:numPr>
        <w:spacing w:after="40"/>
      </w:pPr>
      <w:r>
        <w:rPr>
          <w:sz w:val="20"/>
          <w:szCs w:val="20"/>
        </w:rPr>
        <w:t xml:space="preserve">Provide picture cue cards for formation vocabulary for EAL/D learners.</w:t>
      </w:r>
    </w:p>
    <w:p>
      <w:pPr>
        <w:pStyle w:val="ListParagraph"/>
        <w:numPr>
          <w:ilvl w:val="0"/>
          <w:numId w:val="2"/>
        </w:numPr>
        <w:spacing w:after="40"/>
      </w:pPr>
      <w:r>
        <w:rPr>
          <w:sz w:val="20"/>
          <w:szCs w:val="20"/>
        </w:rPr>
        <w:t xml:space="preserve">Extend capable dancers with a 'caller's assistant' role, helping cue peers alongside the presenter.</w:t>
      </w:r>
    </w:p>
    <w:p>
      <w:pPr>
        <w:pStyle w:val="Heading1"/>
        <w:pBdr>
          <w:bottom w:val="single" w:color="3F6B5A" w:sz="4" w:space="3"/>
        </w:pBdr>
        <w:spacing w:after="120" w:before="260"/>
      </w:pPr>
      <w:r>
        <w:rPr>
          <w:b/>
          <w:bCs/>
          <w:color w:val="0C2D28"/>
          <w:sz w:val="26"/>
          <w:szCs w:val="26"/>
        </w:rPr>
        <w:t xml:space="preserve">Key vocabulary</w:t>
      </w:r>
    </w:p>
    <w:p>
      <w:pPr>
        <w:spacing w:after="100"/>
      </w:pPr>
      <w:r>
        <w:rPr>
          <w:sz w:val="20"/>
          <w:szCs w:val="20"/>
        </w:rPr>
        <w:t xml:space="preserve">colony  •  settler  •  convict  •  heel &amp; toe  •  polka step  •  promenade  •  folk dance  •  live music</w:t>
      </w:r>
    </w:p>
    <w:p>
      <w:pPr>
        <w:pStyle w:val="Heading1"/>
        <w:pBdr>
          <w:bottom w:val="single" w:color="3F6B5A" w:sz="4" w:space="3"/>
        </w:pBdr>
        <w:spacing w:after="120" w:before="260"/>
      </w:pPr>
      <w:r>
        <w:rPr>
          <w:b/>
          <w:bCs/>
          <w:color w:val="0C2D28"/>
          <w:sz w:val="26"/>
          <w:szCs w:val="26"/>
        </w:rPr>
        <w:t xml:space="preserve">Extending the learning back in the classroom</w:t>
      </w:r>
    </w:p>
    <w:p>
      <w:pPr>
        <w:spacing w:after="100"/>
      </w:pPr>
      <w:r>
        <w:rPr>
          <w:sz w:val="20"/>
          <w:szCs w:val="20"/>
        </w:rPr>
        <w:t xml:space="preserve">Use these follow-up tasks to deepen curriculum coverage after the incursion:</w:t>
      </w:r>
    </w:p>
    <w:p>
      <w:pPr>
        <w:pStyle w:val="ListParagraph"/>
        <w:numPr>
          <w:ilvl w:val="0"/>
          <w:numId w:val="2"/>
        </w:numPr>
        <w:spacing w:after="40"/>
      </w:pPr>
      <w:r>
        <w:rPr>
          <w:sz w:val="20"/>
          <w:szCs w:val="20"/>
        </w:rPr>
        <w:t xml:space="preserve">English/History: write a first-person diary entry as a child attending a bush dance in the 1820s colony (extends HT2-5).</w:t>
      </w:r>
    </w:p>
    <w:p>
      <w:pPr>
        <w:pStyle w:val="ListParagraph"/>
        <w:numPr>
          <w:ilvl w:val="0"/>
          <w:numId w:val="2"/>
        </w:numPr>
        <w:spacing w:after="40"/>
      </w:pPr>
      <w:r>
        <w:rPr>
          <w:sz w:val="20"/>
          <w:szCs w:val="20"/>
        </w:rPr>
        <w:t xml:space="preserve">History: sort a set of picture cards into 'before the First Fleet' and 'after colonisation' (extends HT2-3/HT2-4).</w:t>
      </w:r>
    </w:p>
    <w:p>
      <w:pPr>
        <w:pStyle w:val="ListParagraph"/>
        <w:numPr>
          <w:ilvl w:val="0"/>
          <w:numId w:val="2"/>
        </w:numPr>
        <w:spacing w:after="40"/>
      </w:pPr>
      <w:r>
        <w:rPr>
          <w:sz w:val="20"/>
          <w:szCs w:val="20"/>
        </w:rPr>
        <w:t xml:space="preserve">Creative Arts: in small groups, invent a new 4-step variation on the Heel &amp; Toe Polka and explain the 'story' it tells (extends DAS2.2/DAS2.3).</w:t>
      </w:r>
    </w:p>
    <w:p>
      <w:pPr>
        <w:pStyle w:val="ListParagraph"/>
        <w:numPr>
          <w:ilvl w:val="0"/>
          <w:numId w:val="2"/>
        </w:numPr>
        <w:spacing w:after="40"/>
      </w:pPr>
      <w:r>
        <w:rPr>
          <w:sz w:val="20"/>
          <w:szCs w:val="20"/>
        </w:rPr>
        <w:t xml:space="preserve">PDHPE: keep a one-week physical activity log, including how the Heel &amp; Toe Polka compared to other activities (extends ALS2.6).</w:t>
      </w:r>
    </w:p>
    <w:p>
      <w:pPr>
        <w:spacing w:before="300"/>
      </w:pPr>
    </w:p>
    <w:p>
      <w:pPr>
        <w:pBdr>
          <w:top w:val="single" w:color="3F6B5A" w:sz="4" w:space="6"/>
        </w:pBdr>
      </w:pPr>
      <w:r>
        <w:rPr>
          <w:i/>
          <w:iCs/>
          <w:color w:val="5B5B5B"/>
          <w:sz w:val="16"/>
          <w:szCs w:val="16"/>
        </w:rPr>
        <w:t xml:space="preserve">Prepared for booking schools by Sydney Bush Dances  •  sydneybushdances.com  •  Outcomes referenced from current NSW Education Standards Authority (NESA) syllabuses.</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5B5B"/>
        <w:sz w:val="16"/>
        <w:szCs w:val="16"/>
      </w:rPr>
      <w:t xml:space="preserve">Sydney Bush Dances — Educational Session Plan   •   Page </w:t>
    </w:r>
    <w:r>
      <w:rPr>
        <w:color w:val="5B5B5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3F6B5A" w:sz="6" w:space="6"/>
      </w:pBdr>
      <w:tabs>
        <w:tab w:val="right" w:pos="9026"/>
      </w:tabs>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81000" cy="381000"/>
                  </a:xfrm>
                  <a:prstGeom prst="rect">
                    <a:avLst/>
                  </a:prstGeom>
                </pic:spPr>
              </pic:pic>
            </a:graphicData>
          </a:graphic>
        </wp:inline>
      </w:drawing>
    </w:r>
    <w:r>
      <w:rPr>
        <w:b/>
        <w:bCs/>
        <w:color w:val="0C2D28"/>
        <w:sz w:val="18"/>
        <w:szCs w:val="18"/>
      </w:rPr>
      <w:t xml:space="preserve">  Sydney Bush Dances</w:t>
    </w:r>
    <w:r>
      <w:rPr>
        <w:color w:val="5B5B5B"/>
        <w:sz w:val="16"/>
        <w:szCs w:val="16"/>
      </w:rPr>
      <w:t xml:space="preserve">	sydneybushdances.com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2744656b2f260ca1199b15da47b42d1c692a4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d2744656b2f260ca1199b15da47b42d1c692a4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2026-09-18T08:51:01.782Z</dcterms:created>
  <dcterms:modified xsi:type="dcterms:W3CDTF">2026-09-18T08:51:01.782Z</dcterms:modified>
</cp:coreProperties>
</file>

<file path=docProps/custom.xml><?xml version="1.0" encoding="utf-8"?>
<Properties xmlns="http://schemas.openxmlformats.org/officeDocument/2006/custom-properties" xmlns:vt="http://schemas.openxmlformats.org/officeDocument/2006/docPropsVTypes"/>
</file>